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043F58" w14:textId="77777777" w:rsidR="006D027D" w:rsidRPr="00EC76C3" w:rsidRDefault="006D027D" w:rsidP="006D027D">
      <w:pPr>
        <w:shd w:val="clear" w:color="auto" w:fill="FFFFFF"/>
        <w:spacing w:after="240" w:line="240" w:lineRule="auto"/>
        <w:rPr>
          <w:rFonts w:ascii="Arial" w:eastAsia="Times New Roman" w:hAnsi="Arial" w:cs="Arial"/>
          <w:b/>
          <w:bCs/>
          <w:color w:val="3C3C3C"/>
          <w:sz w:val="21"/>
          <w:szCs w:val="21"/>
        </w:rPr>
      </w:pPr>
      <w:r w:rsidRPr="00EC76C3">
        <w:rPr>
          <w:rFonts w:ascii="Arial" w:eastAsia="Times New Roman" w:hAnsi="Arial" w:cs="Arial"/>
          <w:b/>
          <w:bCs/>
          <w:color w:val="3C3C3C"/>
          <w:sz w:val="21"/>
          <w:szCs w:val="21"/>
        </w:rPr>
        <w:t xml:space="preserve">Comitetul restricționat a adoptat următoarea decizie cu privire la </w:t>
      </w:r>
      <w:r w:rsidRPr="00EC76C3">
        <w:rPr>
          <w:b/>
          <w:bCs/>
        </w:rPr>
        <w:t>CARREFOUR FRANCE</w:t>
      </w:r>
      <w:r w:rsidRPr="00EC76C3">
        <w:rPr>
          <w:rFonts w:ascii="Arial" w:eastAsia="Times New Roman" w:hAnsi="Arial" w:cs="Arial"/>
          <w:b/>
          <w:bCs/>
          <w:color w:val="3C3C3C"/>
          <w:sz w:val="21"/>
          <w:szCs w:val="21"/>
        </w:rPr>
        <w:t>:</w:t>
      </w:r>
    </w:p>
    <w:p w14:paraId="2BFEEF5B"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I. Fapte și procedură</w:t>
      </w:r>
    </w:p>
    <w:p w14:paraId="6E314E79"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 Compania CARREFOUR FRANCE (denumită în continuare „compania”) este o filială a grupului CARREFOUR (denumit în continuare „grupul”) situat la 93 Avenue de Paris din Massy (91300), care operează în multe zone. Activitatea sa principală este distribuția în masă, dar grupul și-a diversificat activitățile, de exemplu prin intervenția în sectorul bancar și al asigurărilor, precum și ca agenție de turism sau chiar vânzător specializat în comerț online.</w:t>
      </w:r>
    </w:p>
    <w:p w14:paraId="749C5EAE"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2. În 2019, grupul CARREFOUR a angajat aproximativ 360.000 de persoane, a realizat vânzări de aproximativ 80 miliarde de euro și a venitului net ajustat, cota de grup, de 905 milioane de euro, în creștere față de până în 2018 (804 milioane de euro). În 2019, CARREFOUR FRANCE a realizat vânzări de aproximativ 14 milioane de euro, pentru o pierdere netă de aproximativ 1,6 miliarde de euro.</w:t>
      </w:r>
    </w:p>
    <w:p w14:paraId="2DE93A9D"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3. Grupul CARREFOUR este alcătuit în special din compania-mamă CARREFOUR SA, care deține CARREFOUR FRANCE la 99,61%. Acesta din urmă deține compania CARREFOUR HYPERMARCHÉS la 82% și compania CARREFOUR PROXIMITÉ FRANCE la 99%. În 2019, CARREFOUR HYPERMARCHÉS a realizat o cifră de afaceri de 14,3 miliarde de euro, iar CARREFOUR PROXIMITÉ FRANCE a realizat o cifră de afaceri de 636 milioane de euro.</w:t>
      </w:r>
    </w:p>
    <w:p w14:paraId="677A672F"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4. Pentru nevoile activității sale, compania CARREFOUR FRANCE publică în special site-ul www.carrefour.fr (în continuare site-ul carrefour.fr), permițându-le clienților săi să creeze și să acceseze un spațiu personal și Ordin.</w:t>
      </w:r>
    </w:p>
    <w:p w14:paraId="5DD56138"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5. Între 8 iunie 2018 și 6 aprilie 2019, Comisia a primit cincisprezece plângeri de la persoane fizice referitoare la companii din grupul CARREFOUR.</w:t>
      </w:r>
    </w:p>
    <w:p w14:paraId="5DFF97CE"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6. Șapte dintre aceste trimiteri (nr </w:t>
      </w:r>
      <w:r w:rsidRPr="00EC76C3">
        <w:rPr>
          <w:rFonts w:ascii="Arial" w:eastAsia="Times New Roman" w:hAnsi="Arial" w:cs="Arial"/>
          <w:color w:val="3C3C3C"/>
          <w:sz w:val="16"/>
          <w:szCs w:val="16"/>
          <w:vertAlign w:val="superscript"/>
        </w:rPr>
        <w:t>.</w:t>
      </w:r>
      <w:r w:rsidRPr="00EC76C3">
        <w:rPr>
          <w:rFonts w:ascii="Arial" w:eastAsia="Times New Roman" w:hAnsi="Arial" w:cs="Arial"/>
          <w:color w:val="3C3C3C"/>
          <w:sz w:val="21"/>
          <w:szCs w:val="21"/>
        </w:rPr>
        <w:t> 18018909, 18019816, 18022931, 18023308, 18023417, 19002040 și 19002339) au menționat prospectarea comercială, deși persoanele în cauză și-au exprimat anterior opoziția.</w:t>
      </w:r>
    </w:p>
    <w:p w14:paraId="316F9A58"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7. Patru dintre aceste trimiteri (nr </w:t>
      </w:r>
      <w:r w:rsidRPr="00EC76C3">
        <w:rPr>
          <w:rFonts w:ascii="Arial" w:eastAsia="Times New Roman" w:hAnsi="Arial" w:cs="Arial"/>
          <w:color w:val="3C3C3C"/>
          <w:sz w:val="16"/>
          <w:szCs w:val="16"/>
          <w:vertAlign w:val="superscript"/>
        </w:rPr>
        <w:t>.</w:t>
      </w:r>
      <w:r w:rsidRPr="00EC76C3">
        <w:rPr>
          <w:rFonts w:ascii="Arial" w:eastAsia="Times New Roman" w:hAnsi="Arial" w:cs="Arial"/>
          <w:color w:val="3C3C3C"/>
          <w:sz w:val="21"/>
          <w:szCs w:val="21"/>
        </w:rPr>
        <w:t> 18011774, 18013824, 19001602 și 19006872) au urmat cererilor de ștergere a datelor care nu fuseseră acordate.</w:t>
      </w:r>
    </w:p>
    <w:p w14:paraId="2180FA03"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8. Trei dintre aceste recomandări (nr </w:t>
      </w:r>
      <w:r w:rsidRPr="00EC76C3">
        <w:rPr>
          <w:rFonts w:ascii="Arial" w:eastAsia="Times New Roman" w:hAnsi="Arial" w:cs="Arial"/>
          <w:color w:val="3C3C3C"/>
          <w:sz w:val="16"/>
          <w:szCs w:val="16"/>
          <w:vertAlign w:val="superscript"/>
        </w:rPr>
        <w:t>.</w:t>
      </w:r>
      <w:r w:rsidRPr="00EC76C3">
        <w:rPr>
          <w:rFonts w:ascii="Arial" w:eastAsia="Times New Roman" w:hAnsi="Arial" w:cs="Arial"/>
          <w:color w:val="3C3C3C"/>
          <w:sz w:val="21"/>
          <w:szCs w:val="21"/>
        </w:rPr>
        <w:t> 18024794, 19001627 și 19004654) au urmat cererilor de acces la date care nu fuseseră acordate.</w:t>
      </w:r>
    </w:p>
    <w:p w14:paraId="6C0408F9"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9. recomandarea </w:t>
      </w:r>
      <w:r w:rsidRPr="00EC76C3">
        <w:rPr>
          <w:rFonts w:ascii="Arial" w:eastAsia="Times New Roman" w:hAnsi="Arial" w:cs="Arial"/>
          <w:color w:val="3C3C3C"/>
          <w:sz w:val="16"/>
          <w:szCs w:val="16"/>
          <w:vertAlign w:val="superscript"/>
        </w:rPr>
        <w:t>(nr.</w:t>
      </w:r>
      <w:r w:rsidRPr="00EC76C3">
        <w:rPr>
          <w:rFonts w:ascii="Arial" w:eastAsia="Times New Roman" w:hAnsi="Arial" w:cs="Arial"/>
          <w:color w:val="3C3C3C"/>
          <w:sz w:val="21"/>
          <w:szCs w:val="21"/>
        </w:rPr>
        <w:t> 19000325) a fost un link de dezabonare în e-mailul de prospectare a vânzărilor.</w:t>
      </w:r>
    </w:p>
    <w:p w14:paraId="71D92806"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10. În conformitate cu deciziile nr </w:t>
      </w:r>
      <w:r w:rsidRPr="00EC76C3">
        <w:rPr>
          <w:rFonts w:ascii="Arial" w:eastAsia="Times New Roman" w:hAnsi="Arial" w:cs="Arial"/>
          <w:color w:val="3C3C3C"/>
          <w:sz w:val="16"/>
          <w:szCs w:val="16"/>
          <w:vertAlign w:val="superscript"/>
        </w:rPr>
        <w:t>.</w:t>
      </w:r>
      <w:r w:rsidRPr="00EC76C3">
        <w:rPr>
          <w:rFonts w:ascii="Arial" w:eastAsia="Times New Roman" w:hAnsi="Arial" w:cs="Arial"/>
          <w:color w:val="3C3C3C"/>
          <w:sz w:val="21"/>
          <w:szCs w:val="21"/>
        </w:rPr>
        <w:t> 2019-081C din 24 aprilie 2019 și nr </w:t>
      </w:r>
      <w:r w:rsidRPr="00EC76C3">
        <w:rPr>
          <w:rFonts w:ascii="Arial" w:eastAsia="Times New Roman" w:hAnsi="Arial" w:cs="Arial"/>
          <w:color w:val="3C3C3C"/>
          <w:sz w:val="16"/>
          <w:szCs w:val="16"/>
          <w:vertAlign w:val="superscript"/>
        </w:rPr>
        <w:t>.</w:t>
      </w:r>
      <w:r w:rsidRPr="00EC76C3">
        <w:rPr>
          <w:rFonts w:ascii="Arial" w:eastAsia="Times New Roman" w:hAnsi="Arial" w:cs="Arial"/>
          <w:color w:val="3C3C3C"/>
          <w:sz w:val="21"/>
          <w:szCs w:val="21"/>
        </w:rPr>
        <w:t> 2019-102C din 6 iunie 2019 ale președintelui Comisiei, au fost efectuate cinci verificări online sau la sediul companiei:</w:t>
      </w:r>
    </w:p>
    <w:p w14:paraId="32E159DA"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 o verificare online, efectuată pe 24 mai 2019, referitoare la site-ul carrefour.fr și procesarea efectuată de pe acest site;</w:t>
      </w:r>
    </w:p>
    <w:p w14:paraId="0A40DACA"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 o verificare la fața locului, efectuată la 28 mai 2019, referitoare la prelucrarea efectuată de compania CARREFOUR FRANCE, în special ca parte a programului de loialitate Carrefour (în continuare programul de loialitate), precum și diversele baze de date „a folosit-o pentru gestionarea clientelei sale;</w:t>
      </w:r>
    </w:p>
    <w:p w14:paraId="75161BA5"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lastRenderedPageBreak/>
        <w:t>- un control la fața locului, efectuat în 11 și 12 iunie 2019, referitor la exercitarea drepturilor și la răspunsurile oferite mai multor reclamanți care au depus o plângere la CNIL la CNIL;</w:t>
      </w:r>
    </w:p>
    <w:p w14:paraId="6C2F85D8"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 o verificare la fața locului, efectuată în 26 și 27 iunie 2019, concentrându-se mai ales pe gestionarea datelor cu caracter personal ca parte a programului de loialitate;</w:t>
      </w:r>
    </w:p>
    <w:p w14:paraId="762EA7E0"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 o verificare la fața locului, efectuată la 11 iulie 2019, referitoare la măsurile de securitate dezvoltate de CARREFOUR FRANCE pentru a proteja datele cu caracter personal pe care le prelucrează și încălcările de date care au avut loc.</w:t>
      </w:r>
    </w:p>
    <w:p w14:paraId="76EB38AE"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11. Scopul acestor misiuni a fost de a verifica respectarea de către companie a tuturor prevederilor Regulamentului (UE) 2016/679 al Parlamentului European și al Consiliului din 27 aprilie 2016 (în continuare Regulamentul sau GDPR). și legea </w:t>
      </w:r>
      <w:r w:rsidRPr="00EC76C3">
        <w:rPr>
          <w:rFonts w:ascii="Arial" w:eastAsia="Times New Roman" w:hAnsi="Arial" w:cs="Arial"/>
          <w:color w:val="3C3C3C"/>
          <w:sz w:val="16"/>
          <w:szCs w:val="16"/>
          <w:vertAlign w:val="superscript"/>
        </w:rPr>
        <w:t>nr.</w:t>
      </w:r>
      <w:r w:rsidRPr="00EC76C3">
        <w:rPr>
          <w:rFonts w:ascii="Arial" w:eastAsia="Times New Roman" w:hAnsi="Arial" w:cs="Arial"/>
          <w:color w:val="3C3C3C"/>
          <w:sz w:val="21"/>
          <w:szCs w:val="21"/>
        </w:rPr>
        <w:t> 78-17 din 6 ianuarie 1978 privind computerele, fișierele și libertățile (în continuare Legea din 6 ianuarie 1978 sau Legea privind protecția datelor).</w:t>
      </w:r>
    </w:p>
    <w:p w14:paraId="38EA523D"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12. Au avut loc diferite schimburi prin e-mail între companie și delegația de control. Aceste schimburi se refereau la transmiterea documentelor solicitate în timpul verificărilor. La 5 decembrie 2019, compania a trimis în special delegației de control observații scrise care stabileau majoritatea punctelor ridicate în timpul controalelor și anunțau diferite acțiuni menite să-i aducă conformitate.</w:t>
      </w:r>
    </w:p>
    <w:p w14:paraId="1061BEB6"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13. În scopul examinării acestor elemente, președintele Comisiei l-a numit pe dl Éric PÉRÈS în calitate de raportor, la 10 decembrie 2019, în baza articolului 22 din legea din 6 ianuarie 1978.</w:t>
      </w:r>
    </w:p>
    <w:p w14:paraId="10DE09B6"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14. La finalul investigației sale, raportorul a trimis un executor judecătoresc către compania CARREFOUR FRANCE, la 10 ianuarie 2020, un raport care detaliază încălcările GDPR, Legii privind protecția datelor și Codului poștal și comunicațiile electronice pe care le-a considerat constituite în acest caz.</w:t>
      </w:r>
    </w:p>
    <w:p w14:paraId="31274A6F"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15. Acest raport propunea formării restrânse a Comisiei de a emite o ordonanță pentru a aduce tratamentul în conformitate cu dispozițiile articolelor 5, 12, 13, 15, 17, 21, 32 și 33 din reguli și cu articolul 82 din Legea privind protecția datelor, însoțită de o sancțiune, precum și de o amendă administrativă. El a propus, de asemenea, ca această decizie să fie făcută publică și să nu mai permită identificarea companiei pe nume după o perioadă de doi ani de la publicare.</w:t>
      </w:r>
    </w:p>
    <w:p w14:paraId="4B5F4A75"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16. La 29 ianuarie 2020, compania a solicitat o prelungire cu o lună a termenului în care trebuia să răspundă la raport, amânarea ședinței programate inițial pentru 24 martie 2020, precum și o întâlnire cu raportorul. La 3 februarie, președintele partidului restricționat a acordat prelungirea solicitată pentru o perioadă de o lună. Pe 6 februarie, secretarul general al CNIL a admis cererea de amânare a ședinței la 21 aprilie 2020. În aceeași zi, raportorul a refuzat ședința solicitată de companie.</w:t>
      </w:r>
    </w:p>
    <w:p w14:paraId="21B844F2"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17. La 10 martie 2020, prin intermediul avocatului său, compania a depus observații și a solicitat ca sesiunea dinaintea comisiei restricționate să fie ținută în cameră.</w:t>
      </w:r>
    </w:p>
    <w:p w14:paraId="3539B49B"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18. E-mailul din 23 martie 2020 și pe baza articolului 40 alineatul (4) din Decretul </w:t>
      </w:r>
      <w:r w:rsidRPr="00EC76C3">
        <w:rPr>
          <w:rFonts w:ascii="Arial" w:eastAsia="Times New Roman" w:hAnsi="Arial" w:cs="Arial"/>
          <w:color w:val="3C3C3C"/>
          <w:sz w:val="16"/>
          <w:szCs w:val="16"/>
          <w:vertAlign w:val="superscript"/>
        </w:rPr>
        <w:t>nr.</w:t>
      </w:r>
      <w:r w:rsidRPr="00EC76C3">
        <w:rPr>
          <w:rFonts w:ascii="Arial" w:eastAsia="Times New Roman" w:hAnsi="Arial" w:cs="Arial"/>
          <w:color w:val="3C3C3C"/>
          <w:sz w:val="21"/>
          <w:szCs w:val="21"/>
        </w:rPr>
        <w:t> 2019-536 din 29 mai 2019, raportorul a cerut președintelui formațiunii să restrângă încă cincisprezece zile pentru a răspunde la comentariile companiei.</w:t>
      </w:r>
    </w:p>
    <w:p w14:paraId="01D27D19"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19. Prin scrisoarea din 24 martie 2020, menționând în special contextul crizei sănătății, președintele grupului restricționat a acceptat solicitarea raportorului.</w:t>
      </w:r>
    </w:p>
    <w:p w14:paraId="0315D2F2"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20. Prin scrisoarea din aceeași zi, compania a fost informată cu privire la timpul suplimentar acordat raportorului și cu privire la faptul că, în virtutea alineatului 5 al articolului 40 din decretul nr </w:t>
      </w:r>
      <w:r w:rsidRPr="00EC76C3">
        <w:rPr>
          <w:rFonts w:ascii="Arial" w:eastAsia="Times New Roman" w:hAnsi="Arial" w:cs="Arial"/>
          <w:color w:val="3C3C3C"/>
          <w:sz w:val="16"/>
          <w:szCs w:val="16"/>
          <w:vertAlign w:val="superscript"/>
        </w:rPr>
        <w:t>.</w:t>
      </w:r>
      <w:r w:rsidRPr="00EC76C3">
        <w:rPr>
          <w:rFonts w:ascii="Arial" w:eastAsia="Times New Roman" w:hAnsi="Arial" w:cs="Arial"/>
          <w:color w:val="3C3C3C"/>
          <w:sz w:val="21"/>
          <w:szCs w:val="21"/>
        </w:rPr>
        <w:t xml:space="preserve"> 2019-536 din 29 mai 2019, o perioadă de o lună pentru a răspunde la răspunsul raportorului. Scrisoarea l-a </w:t>
      </w:r>
      <w:r w:rsidRPr="00EC76C3">
        <w:rPr>
          <w:rFonts w:ascii="Arial" w:eastAsia="Times New Roman" w:hAnsi="Arial" w:cs="Arial"/>
          <w:color w:val="3C3C3C"/>
          <w:sz w:val="21"/>
          <w:szCs w:val="21"/>
        </w:rPr>
        <w:lastRenderedPageBreak/>
        <w:t>informat, de asemenea, despre amânarea sesiunii de instruire restricționată, programată inițial pentru 21 aprilie 2020.</w:t>
      </w:r>
    </w:p>
    <w:p w14:paraId="774A3D7E"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21. Prin e-mail din 7 aprilie 2020, raportorul a cerut președintelui părții restricționate o nouă perioadă suplimentară de cincisprezece zile pentru a răspunde la observațiile companiei, care i-a fost acordată la 8 aprilie 2020. Compania a fost. informat în aceeași zi.</w:t>
      </w:r>
    </w:p>
    <w:p w14:paraId="762608B8"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22. Raportorul a răspuns la comentariile companiei la 22 aprilie 2020.</w:t>
      </w:r>
    </w:p>
    <w:p w14:paraId="2C298071"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23. Prin scrisoarea din aceeași zi, secretarul general al CNIL a informat compania că ar putea transmite comentariile sale la răspunsul raportorului la 24 august 2020 în conformitate cu Ordonanța </w:t>
      </w:r>
      <w:r w:rsidRPr="00EC76C3">
        <w:rPr>
          <w:rFonts w:ascii="Arial" w:eastAsia="Times New Roman" w:hAnsi="Arial" w:cs="Arial"/>
          <w:color w:val="3C3C3C"/>
          <w:sz w:val="16"/>
          <w:szCs w:val="16"/>
          <w:vertAlign w:val="superscript"/>
        </w:rPr>
        <w:t>nr.</w:t>
      </w:r>
      <w:r w:rsidRPr="00EC76C3">
        <w:rPr>
          <w:rFonts w:ascii="Arial" w:eastAsia="Times New Roman" w:hAnsi="Arial" w:cs="Arial"/>
          <w:color w:val="3C3C3C"/>
          <w:sz w:val="21"/>
          <w:szCs w:val="21"/>
        </w:rPr>
        <w:t> 2020-306 din 25 Martie 2020 referitoare la prelungirea termenelor expirate în perioada de urgență medicală.</w:t>
      </w:r>
    </w:p>
    <w:p w14:paraId="4F3143CB"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24. La 30 iunie 2020, președintele formațiunii restricționate a admis cererea de ședință închisă făcută de companie pe motiv că anumite elemente adăugate dezbaterilor erau protejate prin secretul comercial, astfel cum se prevede la articolul L151. -1 din Codul comercial.</w:t>
      </w:r>
    </w:p>
    <w:p w14:paraId="3002AD4C"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25. La 5 august 2020, serviciile CNIL au notificat companiei o notificare de participare la sesiunea de instruire restricționată din 17 septembrie 2020.</w:t>
      </w:r>
    </w:p>
    <w:p w14:paraId="71BEFB52"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26. La 24 august și apoi la 15 septembrie, compania a depus noi observații ca răspuns la cele ale raportorului.</w:t>
      </w:r>
    </w:p>
    <w:p w14:paraId="46BC7A44"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27. Compania și raportorul au prezentat observații orale în timpul sesiunii de formare restricționată.</w:t>
      </w:r>
    </w:p>
    <w:p w14:paraId="47AB57BF"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II. Motivele deciziei</w:t>
      </w:r>
    </w:p>
    <w:p w14:paraId="13521A73"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bookmarkStart w:id="0" w:name="_Toc19879261"/>
      <w:r w:rsidRPr="00EC76C3">
        <w:rPr>
          <w:rFonts w:ascii="Arial" w:eastAsia="Times New Roman" w:hAnsi="Arial" w:cs="Arial"/>
          <w:color w:val="4A5E81"/>
          <w:sz w:val="21"/>
          <w:szCs w:val="21"/>
          <w:u w:val="single"/>
        </w:rPr>
        <w:t>A. Nerespectarea</w:t>
      </w:r>
      <w:bookmarkEnd w:id="0"/>
      <w:r w:rsidRPr="00EC76C3">
        <w:rPr>
          <w:rFonts w:ascii="Arial" w:eastAsia="Times New Roman" w:hAnsi="Arial" w:cs="Arial"/>
          <w:color w:val="3C3C3C"/>
          <w:sz w:val="21"/>
          <w:szCs w:val="21"/>
        </w:rPr>
        <w:t> obligației de păstrare a datelor cu caracter personal pentru o perioadă care nu depășește cea necesară scopurilor pentru care sunt prelucrate</w:t>
      </w:r>
    </w:p>
    <w:p w14:paraId="4FCD5C02"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28. Articolul 5-1 e) din regulament prevede că datele cu caracter personal trebuie </w:t>
      </w:r>
      <w:r w:rsidRPr="00EC76C3">
        <w:rPr>
          <w:rFonts w:ascii="Arial" w:eastAsia="Times New Roman" w:hAnsi="Arial" w:cs="Arial"/>
          <w:i/>
          <w:iCs/>
          <w:color w:val="3C3C3C"/>
          <w:sz w:val="21"/>
          <w:szCs w:val="21"/>
        </w:rPr>
        <w:t>păstrate într-o formă care să permită identificarea persoanelor în cauză pentru o perioadă care nu depășește cea necesară în scopurile pentru care sunt prelucrate.</w:t>
      </w:r>
      <w:r w:rsidRPr="00EC76C3">
        <w:rPr>
          <w:rFonts w:ascii="Arial" w:eastAsia="Times New Roman" w:hAnsi="Arial" w:cs="Arial"/>
          <w:color w:val="3C3C3C"/>
          <w:sz w:val="21"/>
          <w:szCs w:val="21"/>
        </w:rPr>
        <w:t> .</w:t>
      </w:r>
    </w:p>
    <w:p w14:paraId="144F9557"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 Date despre clienții care sunt membri ai programului de loialitate și utilizatorii site-ului carrefour.fr</w:t>
      </w:r>
    </w:p>
    <w:p w14:paraId="4C20F190"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29. Pe de o parte, raportorul critică compania că a stabilit perioade de păstrare care depășesc perioadele necesare în scopul prelucrării. Pe de altă parte, el acuză compania că a păstrat datele cu caracter personal pentru o perioadă mai lungă decât cele furnizate.</w:t>
      </w:r>
    </w:p>
    <w:p w14:paraId="26DFFBAE"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30. Compania recunoaște aceste puncte, dar reamintește că a decis, înainte de verificările CNIL, să reducă perioadele de păstrare a clienților săi inactivi și că a început operațiunile de epurare necesare pentru a se conforma acestor noi perioade. . De asemenea, indică faptul că a finalizat toate aceste operațiuni în timpul procedurii de sancționare.</w:t>
      </w:r>
    </w:p>
    <w:p w14:paraId="79C6F7EE"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31. </w:t>
      </w:r>
      <w:r w:rsidRPr="00EC76C3">
        <w:rPr>
          <w:rFonts w:ascii="Arial" w:eastAsia="Times New Roman" w:hAnsi="Arial" w:cs="Arial"/>
          <w:b/>
          <w:bCs/>
          <w:color w:val="3C3C3C"/>
          <w:sz w:val="21"/>
          <w:szCs w:val="21"/>
        </w:rPr>
        <w:t>Cu privire la primul punct</w:t>
      </w:r>
      <w:r w:rsidRPr="00EC76C3">
        <w:rPr>
          <w:rFonts w:ascii="Arial" w:eastAsia="Times New Roman" w:hAnsi="Arial" w:cs="Arial"/>
          <w:color w:val="3C3C3C"/>
          <w:sz w:val="21"/>
          <w:szCs w:val="21"/>
        </w:rPr>
        <w:t> , comitetul restricționat reamintește că în ziua verificărilor, compania a indicat că datele clienților de loialitate au fost păstrate într-o bază de date activă timp de patru ani de la ultima lor activitate (acest lucru poate fi înțeles ca , în funcție de situație, cum ar fi ultima tranzacție care implică trecerea cardului de loialitate la un magazin, ultima tranzacție online, ultima modificare a spațiului personal de pe site-ul companiei sau ultimul contact cu serviciul client).</w:t>
      </w:r>
    </w:p>
    <w:p w14:paraId="61226EBA"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lastRenderedPageBreak/>
        <w:t>32. Ea reamintește că programul de loialitate instituit de companie vizează prospectarea vânzărilor membrilor săi, după cum reiese din informațiile din formularul de membru. Instruirea limitată notează că clienții distribuției în masă, </w:t>
      </w:r>
      <w:r w:rsidRPr="00EC76C3">
        <w:rPr>
          <w:rFonts w:ascii="Arial" w:eastAsia="Times New Roman" w:hAnsi="Arial" w:cs="Arial"/>
          <w:i/>
          <w:iCs/>
          <w:color w:val="3C3C3C"/>
          <w:sz w:val="21"/>
          <w:szCs w:val="21"/>
        </w:rPr>
        <w:t>a fortiori</w:t>
      </w:r>
      <w:r w:rsidRPr="00EC76C3">
        <w:rPr>
          <w:rFonts w:ascii="Arial" w:eastAsia="Times New Roman" w:hAnsi="Arial" w:cs="Arial"/>
          <w:color w:val="3C3C3C"/>
          <w:sz w:val="21"/>
          <w:szCs w:val="21"/>
        </w:rPr>
        <w:t> cei ai unui program de fidelizare, sunt clienți care se întorc de obicei în aceleași magazine în mod regulat. Prin urmare, consideră că un client care nu a făcut afaceri cu compania de câțiva ani nu ar trebui să mai fie considerat un client activ. Pentru a ilustra, atât vechiul standard simplificat </w:t>
      </w:r>
      <w:r w:rsidRPr="00EC76C3">
        <w:rPr>
          <w:rFonts w:ascii="Arial" w:eastAsia="Times New Roman" w:hAnsi="Arial" w:cs="Arial"/>
          <w:color w:val="3C3C3C"/>
          <w:sz w:val="16"/>
          <w:szCs w:val="16"/>
          <w:vertAlign w:val="superscript"/>
        </w:rPr>
        <w:t>nr.</w:t>
      </w:r>
      <w:r w:rsidRPr="00EC76C3">
        <w:rPr>
          <w:rFonts w:ascii="Arial" w:eastAsia="Times New Roman" w:hAnsi="Arial" w:cs="Arial"/>
          <w:color w:val="3C3C3C"/>
          <w:sz w:val="21"/>
          <w:szCs w:val="21"/>
        </w:rPr>
        <w:t> 48 din fișierele client, cât și vânzările online, precum și depozitul recent al proiectului privind activitățile de prelucrare a datelor cu caracter personal implementate în scopuri de gestionare reprezentanții vânzărilor recomandă păstrarea datelor inactive ale clienților pentru o perioadă de trei ani de la ultimul contact cu compania. Deși această durată este orientativă și nu este obligatorie ca atare pentru operatorii de date, instruirea restricționată consideră că aceasta constituie o referință care permite evaluarea unei durate adecvate. În cazul de față, acesta constată că această perioadă este deja substanțială în sectorul distribuției în masă. Dacă particularitățile tratamentelor implementate de compania CARREFOUR FRANCE și, în special, interconectarea profundă a bazelor sale, pot justifica faptul că această perioadă de trei ani nu este considerată excesivă, comitetul restricționat consideră că nu poate fi extins la „până la perioada de patru ani stabilită inițial de companie. Având în vedere acest scop al prospectării comerciale pentru procesarea loialității, consideră că o perioadă de păstrare de patru ani nu a fost strict necesară scopului urmărit și, prin urmare, excesivă.</w:t>
      </w:r>
    </w:p>
    <w:p w14:paraId="00FECCC9"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33. Cu toate acestea, observă că societatea, înainte de începerea procedurilor de control, a inițiat un plan de reducere a acestei perioade de păstrare la trei ani pentru toate bazele sale de date. Având în vedere interconectarea dintre diferitele baze de date ale companiei și necesitatea operațională de a stabili o perioadă de păstrare identică pentru toate datele sale, perioada de păstrare de trei ani pentru clienții inactivi pare proporțională cu scopul urmărit.</w:t>
      </w:r>
    </w:p>
    <w:p w14:paraId="4A02EE1F"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34. </w:t>
      </w:r>
      <w:r w:rsidRPr="00EC76C3">
        <w:rPr>
          <w:rFonts w:ascii="Arial" w:eastAsia="Times New Roman" w:hAnsi="Arial" w:cs="Arial"/>
          <w:b/>
          <w:bCs/>
          <w:color w:val="3C3C3C"/>
          <w:sz w:val="21"/>
          <w:szCs w:val="21"/>
        </w:rPr>
        <w:t>Cu privire la al doilea punct</w:t>
      </w:r>
      <w:r w:rsidRPr="00EC76C3">
        <w:rPr>
          <w:rFonts w:ascii="Arial" w:eastAsia="Times New Roman" w:hAnsi="Arial" w:cs="Arial"/>
          <w:color w:val="3C3C3C"/>
          <w:sz w:val="21"/>
          <w:szCs w:val="21"/>
        </w:rPr>
        <w:t> , comitetul restricționat constată, în primul rând, că compania recunoaște o întârziere în punerea în aplicare a programului său de ștergere a datelor, dar subliniază eforturile semnificative depuse de la inițierea procedurii pentru intră în conformitate. Comitetul restricționat a menționat că delegația de control a remarcat prezența datelor referitoare la clienții care fuseseră inactivi de mai bine de patru ani și, în special, mai mult de douăzeci și opt de milioane de clienți care fuseseră membri ai programului de loialitate care fuseseră inactivi de cinci până la zece ani. În ceea ce privește utilizatorii site-ului carrefour.fr, instruirea restrânsă subliniază faptul că s-au păstrat datele a peste 750.000 de utilizatori al căror act de cumpărare datează de la cinci la zece ani, iar aproape 20.000 de utilizatori dintre care ultimul achiziție datată de peste zece ani.</w:t>
      </w:r>
    </w:p>
    <w:p w14:paraId="6D75F074"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35. Prin urmare, comitetul restricționat consideră, având în vedere aceste elemente, că a avut loc o încălcare a articolului 5-1-e) din GDPR.</w:t>
      </w:r>
    </w:p>
    <w:p w14:paraId="60968B99"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36. Cu toate acestea, instruirea limitată subliniază resursele foarte semnificative, atât organizaționale, cât și financiare, desfășurate de companie și notează, în ziua reuniunii, conformitatea cu regulile de practică ale companiei. Acesta din urmă arată că a creat un sistem automat pentru ștergerea datelor clienților săi (atât din programul de loialitate, cât și de pe site-ul carrefour.fr) care sunt inactivi de mai bine de trei ani.</w:t>
      </w:r>
    </w:p>
    <w:p w14:paraId="0A76575C"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2. Documente de identitate păstrate în exercitarea drepturilor</w:t>
      </w:r>
    </w:p>
    <w:p w14:paraId="790211AD"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37. Raportorul critică compania că a păstrat pentru o perioadă de unu până la șase ani documentele de identitate care i-au fost comunicate de persoanele în cauză în exercitarea unui drept. Consideră că această durată este excesivă, datele fiind păstrate dincolo de durata necesară pentru atingerea scopului pentru care sunt prelucrate.</w:t>
      </w:r>
    </w:p>
    <w:p w14:paraId="5F6D0EF6"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lastRenderedPageBreak/>
        <w:t>38. În această privință, compania subliniază modificarea acestor practici de la notificarea raportului de sancțiune, documentele de identitate fiind păstrate doar pentru perioada legată de procesarea cererii în cauză.</w:t>
      </w:r>
    </w:p>
    <w:p w14:paraId="75E3C99B"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39. Comitetul restricționat a observat că delegația de supraveghere a observat într-adevăr că copii ale cărților de identitate naționale ale solicitanților au fost păstrate de companie pentru o perioadă cuprinsă între unu și șase ani.</w:t>
      </w:r>
    </w:p>
    <w:p w14:paraId="3EBA4222"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40. Cu toate acestea, consideră că, de îndată ce cererea a fost acceptată, compania nu mai trebuie să păstreze o copie a actului de identitate al solicitantului. Singurul scop al furnizării acestui document este de a justifica identitatea persoanei care face cererea și nu este necesar să îl păstrați odată ce identitatea a fost confirmată.</w:t>
      </w:r>
    </w:p>
    <w:p w14:paraId="0A87F1E4"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41. Comitetul restricționat consideră, de asemenea, că, pentru a demonstra că a acceptat efectiv cererea, societatea poate, ca arhivare intermediară în scopuri contencioase, să păstreze doar scrisoarea de răspuns favorabil, un element din care stocarea prezintă, în plus, un risc mai mic pentru persoana vizată.</w:t>
      </w:r>
    </w:p>
    <w:p w14:paraId="1C575BA5"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42. Prin urmare, consideră, având în vedere aceste elemente, că a avut loc o încălcare a articolului 5-1-e) din GDPR.</w:t>
      </w:r>
    </w:p>
    <w:p w14:paraId="5E639C09"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43. Cu toate acestea, ea a subliniat modificările aduse imediat ce raportul a fost notificat și a observat că noile practici ale companiei erau, în ziua reuniunii, conforme cu regulile. De fapt, s-a demonstrat că documentele de identitate sunt acum șterse de îndată ce cererea a fost acceptată.</w:t>
      </w:r>
    </w:p>
    <w:p w14:paraId="2E65EFF8"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B. Încălcarea legată de metodele de exercitare a drepturilor</w:t>
      </w:r>
    </w:p>
    <w:p w14:paraId="17B3C9C0"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44. Articolul 12 din regulament prevede, pe de o parte, că </w:t>
      </w:r>
      <w:r w:rsidRPr="00EC76C3">
        <w:rPr>
          <w:rFonts w:ascii="Arial" w:eastAsia="Times New Roman" w:hAnsi="Arial" w:cs="Arial"/>
          <w:i/>
          <w:iCs/>
          <w:color w:val="3C3C3C"/>
          <w:sz w:val="21"/>
          <w:szCs w:val="21"/>
        </w:rPr>
        <w:t>operatorul facilitează exercitarea drepturilor conferite persoanei vizate în temeiul articolelor 15-22. În cazurile menționate la articolul 11, alineatul 2, operatorul nu refuză să răspundă la solicitarea persoanei vizate de a-și exercita drepturile conferite de articolele 15-22, cu excepția cazului în care operatorul demonstrează că nu se află în capabil să identifice persoana vizată</w:t>
      </w:r>
      <w:r w:rsidRPr="00EC76C3">
        <w:rPr>
          <w:rFonts w:ascii="Arial" w:eastAsia="Times New Roman" w:hAnsi="Arial" w:cs="Arial"/>
          <w:color w:val="3C3C3C"/>
          <w:sz w:val="21"/>
          <w:szCs w:val="21"/>
        </w:rPr>
        <w:t> și că, </w:t>
      </w:r>
      <w:r w:rsidRPr="00EC76C3">
        <w:rPr>
          <w:rFonts w:ascii="Arial" w:eastAsia="Times New Roman" w:hAnsi="Arial" w:cs="Arial"/>
          <w:i/>
          <w:iCs/>
          <w:color w:val="3C3C3C"/>
          <w:sz w:val="21"/>
          <w:szCs w:val="21"/>
        </w:rPr>
        <w:t>atunci când operatorul are îndoieli rezonabile cu privire la identitatea persoanei fizice care face cererea menționată la articolele 15-21, el poate solicita să i se furnizeze informații suplimentare necesare pentru confirmarea identitatea persoanei în cauză</w:t>
      </w:r>
      <w:r w:rsidRPr="00EC76C3">
        <w:rPr>
          <w:rFonts w:ascii="Arial" w:eastAsia="Times New Roman" w:hAnsi="Arial" w:cs="Arial"/>
          <w:color w:val="3C3C3C"/>
          <w:sz w:val="21"/>
          <w:szCs w:val="21"/>
        </w:rPr>
        <w:t> .</w:t>
      </w:r>
    </w:p>
    <w:p w14:paraId="674F7741"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45. De asemenea, prevede că </w:t>
      </w:r>
      <w:r w:rsidRPr="00EC76C3">
        <w:rPr>
          <w:rFonts w:ascii="Arial" w:eastAsia="Times New Roman" w:hAnsi="Arial" w:cs="Arial"/>
          <w:i/>
          <w:iCs/>
          <w:color w:val="3C3C3C"/>
          <w:sz w:val="21"/>
          <w:szCs w:val="21"/>
        </w:rPr>
        <w:t>operatorul furnizează persoanei vizate informații cu privire la măsurile luate în urma unei cereri formulate în conformitate cu articolele 15-22, cât mai curând posibil și în orice caz. cauzei în termen de o lună de la primirea cererii.</w:t>
      </w:r>
      <w:r w:rsidRPr="00EC76C3">
        <w:rPr>
          <w:rFonts w:ascii="Arial" w:eastAsia="Times New Roman" w:hAnsi="Arial" w:cs="Arial"/>
          <w:color w:val="3C3C3C"/>
          <w:sz w:val="21"/>
          <w:szCs w:val="21"/>
        </w:rPr>
        <w:t> </w:t>
      </w:r>
      <w:r w:rsidRPr="00EC76C3">
        <w:rPr>
          <w:rFonts w:ascii="Arial" w:eastAsia="Times New Roman" w:hAnsi="Arial" w:cs="Arial"/>
          <w:i/>
          <w:iCs/>
          <w:color w:val="3C3C3C"/>
          <w:sz w:val="21"/>
          <w:szCs w:val="21"/>
        </w:rPr>
        <w:t>Dacă este necesar, această perioadă poate fi prelungită cu două luni, având în vedere complexitatea și numărul de solicitări.</w:t>
      </w:r>
      <w:r w:rsidRPr="00EC76C3">
        <w:rPr>
          <w:rFonts w:ascii="Arial" w:eastAsia="Times New Roman" w:hAnsi="Arial" w:cs="Arial"/>
          <w:color w:val="3C3C3C"/>
          <w:sz w:val="21"/>
          <w:szCs w:val="21"/>
        </w:rPr>
        <w:t> </w:t>
      </w:r>
      <w:r w:rsidRPr="00EC76C3">
        <w:rPr>
          <w:rFonts w:ascii="Arial" w:eastAsia="Times New Roman" w:hAnsi="Arial" w:cs="Arial"/>
          <w:i/>
          <w:iCs/>
          <w:color w:val="3C3C3C"/>
          <w:sz w:val="21"/>
          <w:szCs w:val="21"/>
        </w:rPr>
        <w:t>Operatorul informează persoana vizată cu privire la această prelungire și motivele amânării în termen de o lună de la primirea cererii.</w:t>
      </w:r>
    </w:p>
    <w:p w14:paraId="6E9EF4C4"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46. </w:t>
      </w:r>
      <w:r w:rsidRPr="00EC76C3">
        <w:rPr>
          <w:rFonts w:ascii="Arial" w:eastAsia="Times New Roman" w:hAnsi="Arial" w:cs="Arial"/>
          <w:b/>
          <w:bCs/>
          <w:color w:val="3C3C3C"/>
          <w:sz w:val="21"/>
          <w:szCs w:val="21"/>
        </w:rPr>
        <w:t>În primul rând</w:t>
      </w:r>
      <w:r w:rsidRPr="00EC76C3">
        <w:rPr>
          <w:rFonts w:ascii="Arial" w:eastAsia="Times New Roman" w:hAnsi="Arial" w:cs="Arial"/>
          <w:color w:val="3C3C3C"/>
          <w:sz w:val="21"/>
          <w:szCs w:val="21"/>
        </w:rPr>
        <w:t> , raportorul a menționat că, cu excepția cazurilor de opoziție la prelucrarea datelor în scopuri de prospecțiune comercială, compania a solicitat în mod sistematic dovada identității atunci când își exercită un drept .</w:t>
      </w:r>
    </w:p>
    <w:p w14:paraId="63210294"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47. Compania a subliniat, în timpul discuțiilor sale cu raportorul, că această practică a fost abandonată începând cu 23 octombrie 2019.</w:t>
      </w:r>
    </w:p>
    <w:p w14:paraId="046CDFE1"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 xml:space="preserve">48. Comitetul restricționat ia act de faptul că societatea nu a rezervat cererea de dovadă a identității numai pentru cazurile în care exista o îndoială rezonabilă cu privire la identitatea persoanei, această cerere fiind sistematică. Acesta subliniază faptul că prezența (notată în timpul verificărilor) a dovezii </w:t>
      </w:r>
      <w:r w:rsidRPr="00EC76C3">
        <w:rPr>
          <w:rFonts w:ascii="Arial" w:eastAsia="Times New Roman" w:hAnsi="Arial" w:cs="Arial"/>
          <w:color w:val="3C3C3C"/>
          <w:sz w:val="21"/>
          <w:szCs w:val="21"/>
        </w:rPr>
        <w:lastRenderedPageBreak/>
        <w:t>de identitate care însoțește cererile, cum ar fi scrisorile de răspuns ale companiei comunicate CNIL de către reclamanți, au demonstrat existența acestei practici. Într-adevăr, CNIL a fost informată cu privire la o cerere în acest sens referitoare la domnii […], […], […], […], […] și […] și a doamnei […] fără că compania are îndoieli rezonabile cu privire la identitatea persoanei.</w:t>
      </w:r>
    </w:p>
    <w:p w14:paraId="5FD574BB"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49. Grupul restricționat consideră că natura sistematică a cererilor de dovadă a identității, recunoscută de companie, este suficientă pentru a demonstra că aceste cereri nu s-au limitat la situații în care societatea avea </w:t>
      </w:r>
      <w:r w:rsidRPr="00EC76C3">
        <w:rPr>
          <w:rFonts w:ascii="Arial" w:eastAsia="Times New Roman" w:hAnsi="Arial" w:cs="Arial"/>
          <w:i/>
          <w:iCs/>
          <w:color w:val="3C3C3C"/>
          <w:sz w:val="21"/>
          <w:szCs w:val="21"/>
        </w:rPr>
        <w:t>îndoieli rezonabile cu privire la identitatea persoanei. persoana fizică care depune cererea</w:t>
      </w:r>
      <w:r w:rsidRPr="00EC76C3">
        <w:rPr>
          <w:rFonts w:ascii="Arial" w:eastAsia="Times New Roman" w:hAnsi="Arial" w:cs="Arial"/>
          <w:color w:val="3C3C3C"/>
          <w:sz w:val="21"/>
          <w:szCs w:val="21"/>
        </w:rPr>
        <w:t> .</w:t>
      </w:r>
    </w:p>
    <w:p w14:paraId="1AEC1A67"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50. Prin urmare, consideră, având în vedere aceste elemente, că a avut loc o încălcare a articolului 12 din GDPR.</w:t>
      </w:r>
    </w:p>
    <w:p w14:paraId="6EBDAD8B"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51. Cu toate acestea, ea a subliniat modificările aduse de companie și a menționat că noile practici ale companiei erau, în ziua reuniunii, conforme cu regulile. De fapt, s-a demonstrat că scrisorile de răspuns la cererile de exercitare a drepturilor nu mai necesită în mod sistematic dovada identității.</w:t>
      </w:r>
    </w:p>
    <w:p w14:paraId="7DB79C50"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52. </w:t>
      </w:r>
      <w:r w:rsidRPr="00EC76C3">
        <w:rPr>
          <w:rFonts w:ascii="Arial" w:eastAsia="Times New Roman" w:hAnsi="Arial" w:cs="Arial"/>
          <w:b/>
          <w:bCs/>
          <w:color w:val="3C3C3C"/>
          <w:sz w:val="21"/>
          <w:szCs w:val="21"/>
        </w:rPr>
        <w:t>În al doilea rând</w:t>
      </w:r>
      <w:r w:rsidRPr="00EC76C3">
        <w:rPr>
          <w:rFonts w:ascii="Arial" w:eastAsia="Times New Roman" w:hAnsi="Arial" w:cs="Arial"/>
          <w:color w:val="3C3C3C"/>
          <w:sz w:val="21"/>
          <w:szCs w:val="21"/>
        </w:rPr>
        <w:t> , raportorul critică compania pentru termenul în care s-a răspuns la solicitările de exercitare a drepturilor. El subliniază că timpii de răspuns variază, dar pot ajunge la nouă luni, fără ca informațiile să fie comunicate în așteptarea persoanelor în cauză. El crede că aceste întârzieri de procesare sunt recurente. Cu titlu ilustrativ, cererea de ștergere și opoziție a doamnei […] a fost primită pe 4 iulie 2018. Retragerea consimțământului său pentru prospectarea publicității a fost transcrisă în baza de date la 15 aprilie 2019, adică mai multe nouă luni mai târziu. Solicitarea de acces a domnului […] a fost primită pe 7 noiembrie 2018 și un răspuns a fost furnizat pe 10 iunie 2019, mai mult de șapte luni mai târziu. Cererea de acces și opoziție a domnului […] a fost înregistrată în instrumentul JIRA la 10 ianuarie 2019. Cu toate acestea, din documentele comunicate CNIL de către reclamant că compania a confirmat primirea primei sale cereri imediat ce 9 noiembrie 2018. S-a răspuns la solicitarea sa cu privire la opoziția la prospectare la 11 iunie 2019, mai mult de șapte luni mai târziu.</w:t>
      </w:r>
    </w:p>
    <w:p w14:paraId="07F49BC8"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53. În această privință, compania recunoaște, atât în ​​al doilea răspuns la observațiile raportorului, cât și în timpul sesiunii de instruire restrânse, o întârziere cronică în procesarea cererilor în momentul controlului. Cu toate acestea, subliniază eforturile deosebit de semnificative depuse de la operațiunile de control, restructurarea în profunzime a organizării echipelor care lucrează pe aceste probleme și transformarea metodelor lor de lucru, în special cu dezvoltarea de noi instrumente </w:t>
      </w:r>
      <w:r w:rsidRPr="00EC76C3">
        <w:rPr>
          <w:rFonts w:ascii="Arial" w:eastAsia="Times New Roman" w:hAnsi="Arial" w:cs="Arial"/>
          <w:i/>
          <w:iCs/>
          <w:color w:val="3C3C3C"/>
          <w:sz w:val="21"/>
          <w:szCs w:val="21"/>
        </w:rPr>
        <w:t>ad hoc</w:t>
      </w:r>
      <w:r w:rsidRPr="00EC76C3">
        <w:rPr>
          <w:rFonts w:ascii="Arial" w:eastAsia="Times New Roman" w:hAnsi="Arial" w:cs="Arial"/>
          <w:color w:val="3C3C3C"/>
          <w:sz w:val="21"/>
          <w:szCs w:val="21"/>
        </w:rPr>
        <w:t> care îmbunătățesc „atribuirea și procesarea cererilor de exercitare a drepturilor, reducând timpul de procesare și riscul de eroare.</w:t>
      </w:r>
    </w:p>
    <w:p w14:paraId="4E08FEBA"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54. Comitetul restricționat a observat că organizarea companiei a provocat, din punct de vedere structural, o întârziere în procesarea cererilor și a menționat că compania a indicat că această defecțiune structurală se datora unei aprecieri slabe a consecințelor GDPR. Intrarea în vigoare a acestui text a crescut numărul de cereri cu care a trebuit să se ocupe, în proporții neașteptate (crescând, înainte de intrarea în vigoare a GDPR, de la una la două cereri pe zi la uneori peste 75 solicitări pe zi după 25 mai 2018).</w:t>
      </w:r>
    </w:p>
    <w:p w14:paraId="4A2112D1"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55. Comitetul restricționat ia act de faptul că această lipsă de anticipare a avut consecințe directe asupra oamenilor care își exercită drepturile, forțându-i uneori să oficializeze mai multe reamintiri în fața tăcerii păstrate de societate. Prin urmare, comitetul restricționat consideră, având în vedere aceste elemente, că a avut loc o încălcare a articolului 12 din GDPR.</w:t>
      </w:r>
    </w:p>
    <w:p w14:paraId="71DBAF51"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 xml:space="preserve">56. Cu toate acestea, ea a subliniat modificările profunde și eficiente aduse de companie și a observat că noile practici ale companiei erau, în ziua reuniunii, în conformitate cu regulile. Astăzi, compania arată un timp mediu de răspuns la solicitările de mai puțin de cincisprezece zile, uneori </w:t>
      </w:r>
      <w:r w:rsidRPr="00EC76C3">
        <w:rPr>
          <w:rFonts w:ascii="Arial" w:eastAsia="Times New Roman" w:hAnsi="Arial" w:cs="Arial"/>
          <w:color w:val="3C3C3C"/>
          <w:sz w:val="21"/>
          <w:szCs w:val="21"/>
        </w:rPr>
        <w:lastRenderedPageBreak/>
        <w:t>chiar mai puțin de zece zile. De asemenea, arată că nu a fost trimis niciun răspuns din timp de la schimbarea proceselor sale interne și de la dezvoltarea de noi instrumente.</w:t>
      </w:r>
    </w:p>
    <w:p w14:paraId="13E1BD00"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C. Cu privire la neinformarea indivizilor</w:t>
      </w:r>
    </w:p>
    <w:p w14:paraId="561C652B"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57. Articolul 12 din GDPR prevede că </w:t>
      </w:r>
      <w:r w:rsidRPr="00EC76C3">
        <w:rPr>
          <w:rFonts w:ascii="Arial" w:eastAsia="Times New Roman" w:hAnsi="Arial" w:cs="Arial"/>
          <w:i/>
          <w:iCs/>
          <w:color w:val="3C3C3C"/>
          <w:sz w:val="21"/>
          <w:szCs w:val="21"/>
        </w:rPr>
        <w:t>operatorul ia măsurile adecvate pentru a furniza persoanelor vizate orice informație menționată la articolele 13 și 14 […] cu privire la prelucrarea într-un mod concis, transparent, ușor de înțeles. și ușor accesibil, în termeni clari și simpli […]</w:t>
      </w:r>
      <w:r w:rsidRPr="00EC76C3">
        <w:rPr>
          <w:rFonts w:ascii="Arial" w:eastAsia="Times New Roman" w:hAnsi="Arial" w:cs="Arial"/>
          <w:color w:val="3C3C3C"/>
          <w:sz w:val="21"/>
          <w:szCs w:val="21"/>
        </w:rPr>
        <w:t> . Articolele 13 și 14 enumeră informațiile care trebuie comunicate persoanelor vizate atunci când datele cu caracter personal sunt colectate direct de la acestea și indirect.</w:t>
      </w:r>
    </w:p>
    <w:p w14:paraId="1A61F6FE"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 În ceea ce privește accesibilitatea informațiilor</w:t>
      </w:r>
    </w:p>
    <w:p w14:paraId="3B4D35FB"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58. </w:t>
      </w:r>
      <w:r w:rsidRPr="00EC76C3">
        <w:rPr>
          <w:rFonts w:ascii="Arial" w:eastAsia="Times New Roman" w:hAnsi="Arial" w:cs="Arial"/>
          <w:b/>
          <w:bCs/>
          <w:color w:val="3C3C3C"/>
          <w:sz w:val="21"/>
          <w:szCs w:val="21"/>
        </w:rPr>
        <w:t>În primul rând</w:t>
      </w:r>
      <w:r w:rsidRPr="00EC76C3">
        <w:rPr>
          <w:rFonts w:ascii="Arial" w:eastAsia="Times New Roman" w:hAnsi="Arial" w:cs="Arial"/>
          <w:color w:val="3C3C3C"/>
          <w:sz w:val="21"/>
          <w:szCs w:val="21"/>
        </w:rPr>
        <w:t> , raportorul consideră că informațiile furnizate nu erau ușor accesibile.</w:t>
      </w:r>
    </w:p>
    <w:p w14:paraId="1C1CB182"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59. În ceea ce privește în primul rând informațiile comunicate pe site-ul carrefour.fr, el constată că multiplicitatea paginilor care urmează să fie consultate, linkurile prezente în diferite pagini, precum și redundanța informațiilor nu permit considerați că informațiile relevante pentru oameni sunt ușor accesibile.</w:t>
      </w:r>
    </w:p>
    <w:p w14:paraId="13D27B1B"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60. În ceea ce privește informațiile comunicate persoanelor care se abonează la programul de loialitate online, raportorul consideră că informațiile nu erau ușor accesibile, deoarece erau incluse în condițiile generale de utilizare a cardului. Răscruci de drumuri.</w:t>
      </w:r>
    </w:p>
    <w:p w14:paraId="0CC97B1A"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61. În cele din urmă, în ceea ce privește informațiile furnizate persoanelor care se abonează la programul de loialitate utilizând un buletin pe hârtie, raportorul observă că nici informațiile nu erau ușor accesibile. El observă că buletinul a rezumat informațiile esențiale și a făcut trimitere pentru informații mai complete la pagina principală a site-ului carrefour.fr, fără alte detalii.</w:t>
      </w:r>
    </w:p>
    <w:p w14:paraId="28844214"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62. În ceea ce privește aceste puncte, compania susține că o pagină dedicată protecției datelor a fost accesibilă direct printr-un link hipertext din partea de jos a paginii și că a modificat notificările de informații de pe site-ul său web pe 22 noiembrie 2019 sau înainte de deschiderea procedurii de sancționare și notificarea raportului. Aceste modificări importante au constat în special în îmbinarea tuturor notificărilor de informații într-un singur document, păstrarea unei pagini dedicate exercitării diferitelor drepturi și o reformulare a informațiilor comunicate pentru a le face mai lizibil, mai precis și mai simplu.</w:t>
      </w:r>
    </w:p>
    <w:p w14:paraId="74E7C47E"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63. Comitetul restricționat constată că compania a ales informații la mai multe niveluri, așa cum este permis de regulament.</w:t>
      </w:r>
    </w:p>
    <w:p w14:paraId="7A69FDB2"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64. În această configurație, panoul restricționat consideră că este deosebit de important ca informațiile să rămână ușor accesibile, conform cerințelor articolului 12 din reguli. Prezentarea informațiilor pe mai multe niveluri crește riscul ca informațiile să fie mai dificil de găsit. Cu toate acestea, considerentul 39 din GDPR subliniază că </w:t>
      </w:r>
      <w:r w:rsidRPr="00EC76C3">
        <w:rPr>
          <w:rFonts w:ascii="Arial" w:eastAsia="Times New Roman" w:hAnsi="Arial" w:cs="Arial"/>
          <w:i/>
          <w:iCs/>
          <w:color w:val="3C3C3C"/>
          <w:sz w:val="21"/>
          <w:szCs w:val="21"/>
        </w:rPr>
        <w:t>principiul transparenței impune ca toate informațiile și comunicările referitoare la prelucrarea acestor date cu caracter personal să fie ușor accesibile, ușor de înțeles și formulate în termeni clari și simpli</w:t>
      </w:r>
      <w:r w:rsidRPr="00EC76C3">
        <w:rPr>
          <w:rFonts w:ascii="Arial" w:eastAsia="Times New Roman" w:hAnsi="Arial" w:cs="Arial"/>
          <w:color w:val="3C3C3C"/>
          <w:sz w:val="21"/>
          <w:szCs w:val="21"/>
        </w:rPr>
        <w:t> . Considerentul 58 prevede, de asemenea, că </w:t>
      </w:r>
      <w:r w:rsidRPr="00EC76C3">
        <w:rPr>
          <w:rFonts w:ascii="Arial" w:eastAsia="Times New Roman" w:hAnsi="Arial" w:cs="Arial"/>
          <w:i/>
          <w:iCs/>
          <w:color w:val="3C3C3C"/>
          <w:sz w:val="21"/>
          <w:szCs w:val="21"/>
        </w:rPr>
        <w:t>principiul transparenței impune ca orice informație adresată publicului sau persoanei vizate să fie concisă, ușor accesibilă și ușor de înțeles și formulată în termeni clari și simpli și, în plus, acolo unde există locație, ilustrată cu elemente vizuale.</w:t>
      </w:r>
    </w:p>
    <w:p w14:paraId="4F369378"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65. În speță, comisia restricționată consideră, </w:t>
      </w:r>
      <w:r w:rsidRPr="00EC76C3">
        <w:rPr>
          <w:rFonts w:ascii="Arial" w:eastAsia="Times New Roman" w:hAnsi="Arial" w:cs="Arial"/>
          <w:color w:val="3C3C3C"/>
          <w:sz w:val="21"/>
          <w:szCs w:val="21"/>
          <w:u w:val="single"/>
        </w:rPr>
        <w:t>pe de o parte,</w:t>
      </w:r>
      <w:r w:rsidRPr="00EC76C3">
        <w:rPr>
          <w:rFonts w:ascii="Arial" w:eastAsia="Times New Roman" w:hAnsi="Arial" w:cs="Arial"/>
          <w:color w:val="3C3C3C"/>
          <w:sz w:val="21"/>
          <w:szCs w:val="21"/>
        </w:rPr>
        <w:t xml:space="preserve"> că accesul la informațiile de pe site-ul carrefour.fr a fost dificil, întrucât acestea din urmă erau grupate împreună la articolul 3 din condițiile generale ale utilizarea site-ului carrefour.fr pe care utilizatorul a trebuit să îl parcurgă. Același lucru </w:t>
      </w:r>
      <w:r w:rsidRPr="00EC76C3">
        <w:rPr>
          <w:rFonts w:ascii="Arial" w:eastAsia="Times New Roman" w:hAnsi="Arial" w:cs="Arial"/>
          <w:color w:val="3C3C3C"/>
          <w:sz w:val="21"/>
          <w:szCs w:val="21"/>
        </w:rPr>
        <w:lastRenderedPageBreak/>
        <w:t>se aplică informațiilor referitoare la programul de loialitate care au apărut la articolul 10 din condițiile generale de utilizare a cardului Carrefour.</w:t>
      </w:r>
    </w:p>
    <w:p w14:paraId="7BC43B88"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66. Cu toate acestea, aceste două documente aveau o lungime atât de mare încât utilizatorul a fost nevoit să parcurgă un număr mare de pagini și să citească câteva zeci de paragrafe (aproximativ cincisprezece în condițiile generale de utilizare ale site-ului carrefour.fr, mai mult de șaptezeci în condițiile generale de utilizare a cardului Carrefour) înainte de a putea găsi informațiile referitoare la protecția datelor sale personale. Prin urmare, grupul restricționat consideră că accesul la aceste informații nu a fost ușor și că utilizatorul a trebuit să demonstreze o hotărâre specială de a accesa informațiile cu privire la aceste întrebări. Amintește că informațiile trebuie prezentate într-o manieră eficientă și succintă pentru a evita copleșirea informațiilor care trebuie furnizate printre alte conținuturi informative.</w:t>
      </w:r>
    </w:p>
    <w:p w14:paraId="322CC18D"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67. Dificultatea accesării acestor informații a fost consolidată în continuare de redundanța acestora. Într-adevăr, informațiile referitoare la protecția datelor cu caracter personal fiind dispersate și fragmentate între mai multe documente (condiții generale de utilizare, condiții generale de vânzare, pagină referitoare la protecția datelor cu caracter personal, pagină dedicată exercitării drepturilor ), unele informații erau prezente doar pe anumite pagini, în timp ce altele erau prezentate de mai multe ori.</w:t>
      </w:r>
    </w:p>
    <w:p w14:paraId="7A09FC7C"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68. Pentru ca utilizatorul să nu fie nevoit să caute informațiile relevante, grupul restricționat consideră că acestea ar trebui grupate într-un singur document separat de condițiile generale de utilizare. Acesta împărtășește aici poziția dezvoltată de G29 în orientările privind transparența în sensul Regulamentului adoptat în versiunea lor revizuită la 11 aprilie 2018 (în continuare, orientările privind transparența), care consideră că </w:t>
      </w:r>
      <w:r w:rsidRPr="00EC76C3">
        <w:rPr>
          <w:rFonts w:ascii="Arial" w:eastAsia="Times New Roman" w:hAnsi="Arial" w:cs="Arial"/>
          <w:i/>
          <w:iCs/>
          <w:color w:val="3C3C3C"/>
          <w:sz w:val="21"/>
          <w:szCs w:val="21"/>
        </w:rPr>
        <w:t>persoana vizată nu ar trebui să aibă căutați în mod activ informațiile acoperite de aceste articole, printre alte informații, cum ar fi condițiile de utilizare a unui site web</w:t>
      </w:r>
      <w:r w:rsidRPr="00EC76C3">
        <w:rPr>
          <w:rFonts w:ascii="Arial" w:eastAsia="Times New Roman" w:hAnsi="Arial" w:cs="Arial"/>
          <w:color w:val="3C3C3C"/>
          <w:sz w:val="21"/>
          <w:szCs w:val="21"/>
        </w:rPr>
        <w:t> .</w:t>
      </w:r>
    </w:p>
    <w:p w14:paraId="6C281F13"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69. Pe </w:t>
      </w:r>
      <w:r w:rsidRPr="00EC76C3">
        <w:rPr>
          <w:rFonts w:ascii="Arial" w:eastAsia="Times New Roman" w:hAnsi="Arial" w:cs="Arial"/>
          <w:color w:val="3C3C3C"/>
          <w:sz w:val="21"/>
          <w:szCs w:val="21"/>
          <w:u w:val="single"/>
        </w:rPr>
        <w:t>de altă parte</w:t>
      </w:r>
      <w:r w:rsidRPr="00EC76C3">
        <w:rPr>
          <w:rFonts w:ascii="Arial" w:eastAsia="Times New Roman" w:hAnsi="Arial" w:cs="Arial"/>
          <w:color w:val="3C3C3C"/>
          <w:sz w:val="21"/>
          <w:szCs w:val="21"/>
        </w:rPr>
        <w:t> , consideră că, atunci când un operator de date alege să comunice persoanelor vizate informații la mai multe niveluri, este important nu numai ca al doilea nivel de informații să detalieze toate informațiile referitoare la tratament, dar și faptul că primul nivel de informație prezintă caracteristicile esențiale. Această cerință de accesibilitate, astfel cum este clarificată în considerentul 39 din GDPR, este reamintită în special în orientările privind transparența. G29 recomandă în special ca </w:t>
      </w:r>
      <w:r w:rsidRPr="00EC76C3">
        <w:rPr>
          <w:rFonts w:ascii="Arial" w:eastAsia="Times New Roman" w:hAnsi="Arial" w:cs="Arial"/>
          <w:i/>
          <w:iCs/>
          <w:color w:val="3C3C3C"/>
          <w:sz w:val="21"/>
          <w:szCs w:val="21"/>
        </w:rPr>
        <w:t>primul nivel / prima modalitate să includă detalii despre scopul prelucrării, identitatea operatorului și o descriere a drepturilor persoanelor vizate</w:t>
      </w:r>
      <w:r w:rsidRPr="00EC76C3">
        <w:rPr>
          <w:rFonts w:ascii="Arial" w:eastAsia="Times New Roman" w:hAnsi="Arial" w:cs="Arial"/>
          <w:color w:val="3C3C3C"/>
          <w:sz w:val="21"/>
          <w:szCs w:val="21"/>
        </w:rPr>
        <w:t> .</w:t>
      </w:r>
    </w:p>
    <w:p w14:paraId="5A3D09D2"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70. Cu toate acestea, comitetul restricționat observă că primul nivel de informații de pe site-ul carrefour.fr, accesibil de pe linkul cu date personale, nu a furnizat aceste informații esențiale, ci doar câteva informații generale, cum ar fi posibilitatea, pentru persoanele în cauză, să </w:t>
      </w:r>
      <w:r w:rsidRPr="00EC76C3">
        <w:rPr>
          <w:rFonts w:ascii="Arial" w:eastAsia="Times New Roman" w:hAnsi="Arial" w:cs="Arial"/>
          <w:i/>
          <w:iCs/>
          <w:color w:val="3C3C3C"/>
          <w:sz w:val="21"/>
          <w:szCs w:val="21"/>
        </w:rPr>
        <w:t>consulte datele personale care le privesc</w:t>
      </w:r>
      <w:r w:rsidRPr="00EC76C3">
        <w:rPr>
          <w:rFonts w:ascii="Arial" w:eastAsia="Times New Roman" w:hAnsi="Arial" w:cs="Arial"/>
          <w:color w:val="3C3C3C"/>
          <w:sz w:val="21"/>
          <w:szCs w:val="21"/>
        </w:rPr>
        <w:t> sau să </w:t>
      </w:r>
      <w:r w:rsidRPr="00EC76C3">
        <w:rPr>
          <w:rFonts w:ascii="Arial" w:eastAsia="Times New Roman" w:hAnsi="Arial" w:cs="Arial"/>
          <w:i/>
          <w:iCs/>
          <w:color w:val="3C3C3C"/>
          <w:sz w:val="21"/>
          <w:szCs w:val="21"/>
        </w:rPr>
        <w:t>exercite diferitele drepturi de</w:t>
      </w:r>
      <w:r w:rsidRPr="00EC76C3">
        <w:rPr>
          <w:rFonts w:ascii="Arial" w:eastAsia="Times New Roman" w:hAnsi="Arial" w:cs="Arial"/>
          <w:color w:val="3C3C3C"/>
          <w:sz w:val="21"/>
          <w:szCs w:val="21"/>
        </w:rPr>
        <w:t> care beneficiază, sau unul dintre scopurile prelucrării (prezentarea ofertelor personalizate).</w:t>
      </w:r>
    </w:p>
    <w:p w14:paraId="72AEA91C"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71. În ceea ce privește persoanele care se abonează la programul de loialitate prin buletinul pe hârtie, grupul restricționat consideră că, prin trimiterea acestor persoane la site-ul carrefour.fr fără alte detalii, compania nu a făcut informațiile ușor accesibile. Compania ar trebui să aibă, cel </w:t>
      </w:r>
      <w:r w:rsidRPr="00EC76C3">
        <w:rPr>
          <w:rFonts w:ascii="Arial" w:eastAsia="Times New Roman" w:hAnsi="Arial" w:cs="Arial"/>
          <w:i/>
          <w:iCs/>
          <w:color w:val="3C3C3C"/>
          <w:sz w:val="21"/>
          <w:szCs w:val="21"/>
        </w:rPr>
        <w:t>puțin</w:t>
      </w:r>
      <w:r w:rsidRPr="00EC76C3">
        <w:rPr>
          <w:rFonts w:ascii="Arial" w:eastAsia="Times New Roman" w:hAnsi="Arial" w:cs="Arial"/>
          <w:color w:val="3C3C3C"/>
          <w:sz w:val="21"/>
          <w:szCs w:val="21"/>
        </w:rPr>
        <w:t> , specificată pagina sau adresa URL la care aceste informații erau disponibile. Formația restricționată menționează că această lipsă de accesibilitate printr-o simplă referință la pagina de pornire a site-ului a fost agravată de defecțiunile evidențiate anterior cu privire la site-ul carrefour.fr.</w:t>
      </w:r>
    </w:p>
    <w:p w14:paraId="319A7FA0"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72. </w:t>
      </w:r>
      <w:r w:rsidRPr="00EC76C3">
        <w:rPr>
          <w:rFonts w:ascii="Arial" w:eastAsia="Times New Roman" w:hAnsi="Arial" w:cs="Arial"/>
          <w:b/>
          <w:bCs/>
          <w:color w:val="3C3C3C"/>
          <w:sz w:val="21"/>
          <w:szCs w:val="21"/>
        </w:rPr>
        <w:t>În al doilea rând</w:t>
      </w:r>
      <w:r w:rsidRPr="00EC76C3">
        <w:rPr>
          <w:rFonts w:ascii="Arial" w:eastAsia="Times New Roman" w:hAnsi="Arial" w:cs="Arial"/>
          <w:color w:val="3C3C3C"/>
          <w:sz w:val="21"/>
          <w:szCs w:val="21"/>
        </w:rPr>
        <w:t> , raportorul consideră că informațiile furnizate nu au fost scrise în termeni simpli și clari.</w:t>
      </w:r>
    </w:p>
    <w:p w14:paraId="0F1ED8B2"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lastRenderedPageBreak/>
        <w:t>73. El consideră că toate informațiile (în condițiile generale de utilizare a site-ului carrefour.fr, formularele pe hârtie pentru aderarea la programul de loialitate și pentru aderarea la același program prin zona de clienți a site-ul carrefour.fr) a folosit termeni imprecisi și neclari și nu au fost ușor de înțeles datorită aspectului lor.</w:t>
      </w:r>
    </w:p>
    <w:p w14:paraId="2D6BE7A7"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74. În acest sens, compania evidențiază modificările semnificative aduse notificărilor de informații înainte de deschiderea procedurii de sancționare. Acesta indică faptul că, începând din noiembrie 2019, a postat o pagină de informații specifică protecției datelor cu caracter personal, separată de condițiile generale de utilizare, accesibilă direct de pe pagina de pornire printr-un link hipertext.</w:t>
      </w:r>
    </w:p>
    <w:p w14:paraId="1FA2B3FB"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75. Comitetul restricționat constată că informațiile de pe site-ul carrefour.fr (atât în ​​condițiile generale de utilizare, cât și în procesul de aderare la programul de loialitate), precum și pe formularele de înregistrare pe hârtie incluse, la în momentul verificării din 24 mai 2019, formulări neclare, ambigue sau imprecise. Utilizarea, aproape sistematică, în special în condițiile generale de utilizare a site-ului carrefour.fr și a programului de loialitate, a unor termeni precum </w:t>
      </w:r>
      <w:r w:rsidRPr="00EC76C3">
        <w:rPr>
          <w:rFonts w:ascii="Arial" w:eastAsia="Times New Roman" w:hAnsi="Arial" w:cs="Arial"/>
          <w:i/>
          <w:iCs/>
          <w:color w:val="3C3C3C"/>
          <w:sz w:val="21"/>
          <w:szCs w:val="21"/>
        </w:rPr>
        <w:t>aceste tratamente includ în</w:t>
      </w:r>
      <w:r w:rsidRPr="00EC76C3">
        <w:rPr>
          <w:rFonts w:ascii="Arial" w:eastAsia="Times New Roman" w:hAnsi="Arial" w:cs="Arial"/>
          <w:color w:val="3C3C3C"/>
          <w:sz w:val="21"/>
          <w:szCs w:val="21"/>
        </w:rPr>
        <w:t> </w:t>
      </w:r>
      <w:r w:rsidRPr="00EC76C3">
        <w:rPr>
          <w:rFonts w:ascii="Arial" w:eastAsia="Times New Roman" w:hAnsi="Arial" w:cs="Arial"/>
          <w:i/>
          <w:iCs/>
          <w:color w:val="3C3C3C"/>
          <w:sz w:val="21"/>
          <w:szCs w:val="21"/>
          <w:u w:val="single"/>
        </w:rPr>
        <w:t>special</w:t>
      </w:r>
      <w:r w:rsidRPr="00EC76C3">
        <w:rPr>
          <w:rFonts w:ascii="Arial" w:eastAsia="Times New Roman" w:hAnsi="Arial" w:cs="Arial"/>
          <w:color w:val="3C3C3C"/>
          <w:sz w:val="21"/>
          <w:szCs w:val="21"/>
        </w:rPr>
        <w:t> , </w:t>
      </w:r>
      <w:r w:rsidRPr="00EC76C3">
        <w:rPr>
          <w:rFonts w:ascii="Arial" w:eastAsia="Times New Roman" w:hAnsi="Arial" w:cs="Arial"/>
          <w:i/>
          <w:iCs/>
          <w:color w:val="3C3C3C"/>
          <w:sz w:val="21"/>
          <w:szCs w:val="21"/>
        </w:rPr>
        <w:t>pentru </w:t>
      </w:r>
      <w:r w:rsidRPr="00EC76C3">
        <w:rPr>
          <w:rFonts w:ascii="Arial" w:eastAsia="Times New Roman" w:hAnsi="Arial" w:cs="Arial"/>
          <w:i/>
          <w:iCs/>
          <w:color w:val="3C3C3C"/>
          <w:sz w:val="21"/>
          <w:szCs w:val="21"/>
          <w:u w:val="single"/>
        </w:rPr>
        <w:t>unul sau mai multe</w:t>
      </w:r>
      <w:r w:rsidRPr="00EC76C3">
        <w:rPr>
          <w:rFonts w:ascii="Arial" w:eastAsia="Times New Roman" w:hAnsi="Arial" w:cs="Arial"/>
          <w:i/>
          <w:iCs/>
          <w:color w:val="3C3C3C"/>
          <w:sz w:val="21"/>
          <w:szCs w:val="21"/>
        </w:rPr>
        <w:t> dintre următoarele motive</w:t>
      </w:r>
      <w:r w:rsidRPr="00EC76C3">
        <w:rPr>
          <w:rFonts w:ascii="Arial" w:eastAsia="Times New Roman" w:hAnsi="Arial" w:cs="Arial"/>
          <w:color w:val="3C3C3C"/>
          <w:sz w:val="21"/>
          <w:szCs w:val="21"/>
        </w:rPr>
        <w:t> sau </w:t>
      </w:r>
      <w:r w:rsidRPr="00EC76C3">
        <w:rPr>
          <w:rFonts w:ascii="Arial" w:eastAsia="Times New Roman" w:hAnsi="Arial" w:cs="Arial"/>
          <w:i/>
          <w:iCs/>
          <w:color w:val="3C3C3C"/>
          <w:sz w:val="21"/>
          <w:szCs w:val="21"/>
        </w:rPr>
        <w:t>datele dvs. </w:t>
      </w:r>
      <w:r w:rsidRPr="00EC76C3">
        <w:rPr>
          <w:rFonts w:ascii="Arial" w:eastAsia="Times New Roman" w:hAnsi="Arial" w:cs="Arial"/>
          <w:i/>
          <w:iCs/>
          <w:color w:val="3C3C3C"/>
          <w:sz w:val="21"/>
          <w:szCs w:val="21"/>
          <w:u w:val="single"/>
        </w:rPr>
        <w:t>pot fi</w:t>
      </w:r>
      <w:r w:rsidRPr="00EC76C3">
        <w:rPr>
          <w:rFonts w:ascii="Arial" w:eastAsia="Times New Roman" w:hAnsi="Arial" w:cs="Arial"/>
          <w:i/>
          <w:iCs/>
          <w:color w:val="3C3C3C"/>
          <w:sz w:val="21"/>
          <w:szCs w:val="21"/>
        </w:rPr>
        <w:t> afectate. „utilizarea acestora</w:t>
      </w:r>
      <w:r w:rsidRPr="00EC76C3">
        <w:rPr>
          <w:rFonts w:ascii="Arial" w:eastAsia="Times New Roman" w:hAnsi="Arial" w:cs="Arial"/>
          <w:color w:val="3C3C3C"/>
          <w:sz w:val="21"/>
          <w:szCs w:val="21"/>
        </w:rPr>
        <w:t> nu permite persoanelor vizate să înțeleagă pe deplin operațiunile de procesare implementate. În același mod, formule precum </w:t>
      </w:r>
      <w:r w:rsidRPr="00EC76C3">
        <w:rPr>
          <w:rFonts w:ascii="Arial" w:eastAsia="Times New Roman" w:hAnsi="Arial" w:cs="Arial"/>
          <w:i/>
          <w:iCs/>
          <w:color w:val="3C3C3C"/>
          <w:sz w:val="21"/>
          <w:szCs w:val="21"/>
        </w:rPr>
        <w:t>dvs. aveți, de asemenea, dreptul de a obține limitarea unui tratament și dreptul la portabilitatea datelor pe care le-ați putea furniza, care vor fi aplicabile </w:t>
      </w:r>
      <w:r w:rsidRPr="00EC76C3">
        <w:rPr>
          <w:rFonts w:ascii="Arial" w:eastAsia="Times New Roman" w:hAnsi="Arial" w:cs="Arial"/>
          <w:i/>
          <w:iCs/>
          <w:color w:val="3C3C3C"/>
          <w:sz w:val="21"/>
          <w:szCs w:val="21"/>
          <w:u w:val="single"/>
        </w:rPr>
        <w:t>în anumite cazuri.</w:t>
      </w:r>
      <w:r w:rsidRPr="00EC76C3">
        <w:rPr>
          <w:rFonts w:ascii="Arial" w:eastAsia="Times New Roman" w:hAnsi="Arial" w:cs="Arial"/>
          <w:color w:val="3C3C3C"/>
          <w:sz w:val="21"/>
          <w:szCs w:val="21"/>
        </w:rPr>
        <w:t> (condițiile generale de utilizare a cardului Carrefour) nu furnizează informații complete persoanelor interesate, deoarece acestea din urmă nu pot înțelege, la citirea lor, situațiile în care aceste drepturi le sunt deschise și procedurile de aplicare a acestora .</w:t>
      </w:r>
    </w:p>
    <w:p w14:paraId="3FDF7482"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76. Condițiile generale de utilizare a site-ului carrefour.fr și a programului de loialitate au inclus, în majoritatea cazurilor, doar exemple referitoare la datele colectate ( </w:t>
      </w:r>
      <w:r w:rsidRPr="00EC76C3">
        <w:rPr>
          <w:rFonts w:ascii="Arial" w:eastAsia="Times New Roman" w:hAnsi="Arial" w:cs="Arial"/>
          <w:i/>
          <w:iCs/>
          <w:color w:val="3C3C3C"/>
          <w:sz w:val="21"/>
          <w:szCs w:val="21"/>
        </w:rPr>
        <w:t>este posibil </w:t>
      </w:r>
      <w:r w:rsidRPr="00EC76C3">
        <w:rPr>
          <w:rFonts w:ascii="Arial" w:eastAsia="Times New Roman" w:hAnsi="Arial" w:cs="Arial"/>
          <w:i/>
          <w:iCs/>
          <w:color w:val="3C3C3C"/>
          <w:sz w:val="21"/>
          <w:szCs w:val="21"/>
          <w:u w:val="single"/>
        </w:rPr>
        <w:t>să</w:t>
      </w:r>
      <w:r w:rsidRPr="00EC76C3">
        <w:rPr>
          <w:rFonts w:ascii="Arial" w:eastAsia="Times New Roman" w:hAnsi="Arial" w:cs="Arial"/>
          <w:i/>
          <w:iCs/>
          <w:color w:val="3C3C3C"/>
          <w:sz w:val="21"/>
          <w:szCs w:val="21"/>
        </w:rPr>
        <w:t> avem date deschise de date</w:t>
      </w:r>
      <w:r w:rsidRPr="00EC76C3">
        <w:rPr>
          <w:rFonts w:ascii="Arial" w:eastAsia="Times New Roman" w:hAnsi="Arial" w:cs="Arial"/>
          <w:color w:val="3C3C3C"/>
          <w:sz w:val="21"/>
          <w:szCs w:val="21"/>
        </w:rPr>
        <w:t> ), la operațiuni efectuate sau în scopurile urmărite ( </w:t>
      </w:r>
      <w:r w:rsidRPr="00EC76C3">
        <w:rPr>
          <w:rFonts w:ascii="Arial" w:eastAsia="Times New Roman" w:hAnsi="Arial" w:cs="Arial"/>
          <w:i/>
          <w:iCs/>
          <w:color w:val="3C3C3C"/>
          <w:sz w:val="21"/>
          <w:szCs w:val="21"/>
        </w:rPr>
        <w:t>datele dvs. </w:t>
      </w:r>
      <w:r w:rsidRPr="00EC76C3">
        <w:rPr>
          <w:rFonts w:ascii="Arial" w:eastAsia="Times New Roman" w:hAnsi="Arial" w:cs="Arial"/>
          <w:i/>
          <w:iCs/>
          <w:color w:val="3C3C3C"/>
          <w:sz w:val="21"/>
          <w:szCs w:val="21"/>
          <w:u w:val="single"/>
        </w:rPr>
        <w:t>pot fi</w:t>
      </w:r>
      <w:r w:rsidRPr="00EC76C3">
        <w:rPr>
          <w:rFonts w:ascii="Arial" w:eastAsia="Times New Roman" w:hAnsi="Arial" w:cs="Arial"/>
          <w:i/>
          <w:iCs/>
          <w:color w:val="3C3C3C"/>
          <w:sz w:val="21"/>
          <w:szCs w:val="21"/>
        </w:rPr>
        <w:t> prelucrate din </w:t>
      </w:r>
      <w:r w:rsidRPr="00EC76C3">
        <w:rPr>
          <w:rFonts w:ascii="Arial" w:eastAsia="Times New Roman" w:hAnsi="Arial" w:cs="Arial"/>
          <w:i/>
          <w:iCs/>
          <w:color w:val="3C3C3C"/>
          <w:sz w:val="21"/>
          <w:szCs w:val="21"/>
          <w:u w:val="single"/>
        </w:rPr>
        <w:t>unul sau mai multe</w:t>
      </w:r>
      <w:r w:rsidRPr="00EC76C3">
        <w:rPr>
          <w:rFonts w:ascii="Arial" w:eastAsia="Times New Roman" w:hAnsi="Arial" w:cs="Arial"/>
          <w:i/>
          <w:iCs/>
          <w:color w:val="3C3C3C"/>
          <w:sz w:val="21"/>
          <w:szCs w:val="21"/>
        </w:rPr>
        <w:t> dintre următoarele motive</w:t>
      </w:r>
      <w:r w:rsidRPr="00EC76C3">
        <w:rPr>
          <w:rFonts w:ascii="Arial" w:eastAsia="Times New Roman" w:hAnsi="Arial" w:cs="Arial"/>
          <w:color w:val="3C3C3C"/>
          <w:sz w:val="21"/>
          <w:szCs w:val="21"/>
        </w:rPr>
        <w:t> ) sau formulări generale și evazive. Cu toate acestea, comitetul restricționat reamintește că considerentul 39 din GDPR subliniază importanța principiului transparenței, specificând că </w:t>
      </w:r>
      <w:r w:rsidRPr="00EC76C3">
        <w:rPr>
          <w:rFonts w:ascii="Arial" w:eastAsia="Times New Roman" w:hAnsi="Arial" w:cs="Arial"/>
          <w:i/>
          <w:iCs/>
          <w:color w:val="3C3C3C"/>
          <w:sz w:val="21"/>
          <w:szCs w:val="21"/>
        </w:rPr>
        <w:t>persoanele ar trebui să fie informate cu privire la riscurile, normele, garanțiile și drepturile legate de prelucrarea datelor cu caracter personal și a metodelor de exercițiu drepturilor lor cu privire la această prelucrare</w:t>
      </w:r>
      <w:r w:rsidRPr="00EC76C3">
        <w:rPr>
          <w:rFonts w:ascii="Arial" w:eastAsia="Times New Roman" w:hAnsi="Arial" w:cs="Arial"/>
          <w:color w:val="3C3C3C"/>
          <w:sz w:val="21"/>
          <w:szCs w:val="21"/>
        </w:rPr>
        <w:t> . Comitetul restricționat reamintește că informațiile comunicate au o importanță capitală, deoarece conformitatea acestora condiționează validitatea angajamentului persoanei și disponibilitatea acesteia de a permite prelucrarea datelor cu caracter personal de către un anumit operator. Persoana vizată ar trebui să poată, la citirea informațiilor care i-au fost comunicate, să înțeleagă domeniul de aplicare general al prelucrării, ceea ce nu este cazul aici.</w:t>
      </w:r>
    </w:p>
    <w:p w14:paraId="7A856E46"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77. Cuvintele folosite, adesea complicate inutil, au făcut ca citirea declarațiilor informaționale să fie deosebit de plictisitoare, chiar și pentru o persoană iluminată. De exemplu, o propoziție precum cea pe </w:t>
      </w:r>
      <w:r w:rsidRPr="00EC76C3">
        <w:rPr>
          <w:rFonts w:ascii="Arial" w:eastAsia="Times New Roman" w:hAnsi="Arial" w:cs="Arial"/>
          <w:i/>
          <w:iCs/>
          <w:color w:val="3C3C3C"/>
          <w:sz w:val="21"/>
          <w:szCs w:val="21"/>
        </w:rPr>
        <w:t>care o puteți solicita să vă exercitați dreptul de opoziție din motive legate de situația dvs. particulară, de prelucrarea datelor cu caracter personal care vă privesc atunci când prelucrarea se bazează pe interesul legitim al operatorului inclusiv profilarea</w:t>
      </w:r>
      <w:r w:rsidRPr="00EC76C3">
        <w:rPr>
          <w:rFonts w:ascii="Arial" w:eastAsia="Times New Roman" w:hAnsi="Arial" w:cs="Arial"/>
          <w:color w:val="3C3C3C"/>
          <w:sz w:val="21"/>
          <w:szCs w:val="21"/>
        </w:rPr>
        <w:t> extrasă din condițiile generale ale site-ului carrefour.fr nu permite unui utilizator laic să înțeleagă nici existența, nici domeniul de aplicare, nici condițiile pentru exercitarea dreptului său de a obiecta. Același lucru este valabil și pentru sentința </w:t>
      </w:r>
      <w:r w:rsidRPr="00EC76C3">
        <w:rPr>
          <w:rFonts w:ascii="Arial" w:eastAsia="Times New Roman" w:hAnsi="Arial" w:cs="Arial"/>
          <w:i/>
          <w:iCs/>
          <w:color w:val="3C3C3C"/>
          <w:sz w:val="21"/>
          <w:szCs w:val="21"/>
        </w:rPr>
        <w:t>că datele dvs. pot fi transmise tuturor sau unora dintre următorii destinatari: […] mărci partenere, dar în acest caz acestea din urmă nu au acces direct sau indirect la datele care vă privesc și numai [sic] datele referitoare la profilul dvs., fără a fi posibil să vă identificați direct sau indirect, companiilor din grupul Carrefour în scopurile menționate mai sus cu</w:t>
      </w:r>
      <w:r w:rsidRPr="00EC76C3">
        <w:rPr>
          <w:rFonts w:ascii="Arial" w:eastAsia="Times New Roman" w:hAnsi="Arial" w:cs="Arial"/>
          <w:color w:val="3C3C3C"/>
          <w:sz w:val="21"/>
          <w:szCs w:val="21"/>
        </w:rPr>
        <w:t> privire la destinatarii datelor.</w:t>
      </w:r>
    </w:p>
    <w:p w14:paraId="6BE46578"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 xml:space="preserve">78. Instruirea limitată amintește că informațiile prezentate au fost destinate tuturor utilizatorilor serviciilor companiei, care pot avea profiluri foarte diverse. Compania ar fi trebuit să adopte un stil </w:t>
      </w:r>
      <w:r w:rsidRPr="00EC76C3">
        <w:rPr>
          <w:rFonts w:ascii="Arial" w:eastAsia="Times New Roman" w:hAnsi="Arial" w:cs="Arial"/>
          <w:color w:val="3C3C3C"/>
          <w:sz w:val="21"/>
          <w:szCs w:val="21"/>
        </w:rPr>
        <w:lastRenderedPageBreak/>
        <w:t>care să-i permită să fie înțeles de cel mai mare număr. Grupul restricționat consideră că acest lucru nu a fost cazul în cazul de față.</w:t>
      </w:r>
    </w:p>
    <w:p w14:paraId="3415981E"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79. În general, formația restricționată amintește că informațiile menționate trebuie să depună eforturi, pe cât posibil, să utilizeze un vocabular simplu, să facă propoziții scurte și să folosească un stil direct, dar și să evite termenii. termeni legali sau tehnici, termeni și formule abstracte sau ambigue, precum </w:t>
      </w:r>
      <w:r w:rsidRPr="00EC76C3">
        <w:rPr>
          <w:rFonts w:ascii="Arial" w:eastAsia="Times New Roman" w:hAnsi="Arial" w:cs="Arial"/>
          <w:i/>
          <w:iCs/>
          <w:color w:val="3C3C3C"/>
          <w:sz w:val="21"/>
          <w:szCs w:val="21"/>
        </w:rPr>
        <w:t>am putea folosi datele dvs.</w:t>
      </w:r>
      <w:r w:rsidRPr="00EC76C3">
        <w:rPr>
          <w:rFonts w:ascii="Arial" w:eastAsia="Times New Roman" w:hAnsi="Arial" w:cs="Arial"/>
          <w:color w:val="3C3C3C"/>
          <w:sz w:val="21"/>
          <w:szCs w:val="21"/>
        </w:rPr>
        <w:t> , </w:t>
      </w:r>
      <w:r w:rsidRPr="00EC76C3">
        <w:rPr>
          <w:rFonts w:ascii="Arial" w:eastAsia="Times New Roman" w:hAnsi="Arial" w:cs="Arial"/>
          <w:i/>
          <w:iCs/>
          <w:color w:val="3C3C3C"/>
          <w:sz w:val="21"/>
          <w:szCs w:val="21"/>
        </w:rPr>
        <w:t>o posibilă utilizare a datelor dvs.</w:t>
      </w:r>
      <w:r w:rsidRPr="00EC76C3">
        <w:rPr>
          <w:rFonts w:ascii="Arial" w:eastAsia="Times New Roman" w:hAnsi="Arial" w:cs="Arial"/>
          <w:color w:val="3C3C3C"/>
          <w:sz w:val="21"/>
          <w:szCs w:val="21"/>
        </w:rPr>
        <w:t> , </w:t>
      </w:r>
      <w:r w:rsidRPr="00EC76C3">
        <w:rPr>
          <w:rFonts w:ascii="Arial" w:eastAsia="Times New Roman" w:hAnsi="Arial" w:cs="Arial"/>
          <w:i/>
          <w:iCs/>
          <w:color w:val="3C3C3C"/>
          <w:sz w:val="21"/>
          <w:szCs w:val="21"/>
        </w:rPr>
        <w:t>sunt utilizate unele date care vă privesc</w:t>
      </w:r>
      <w:r w:rsidRPr="00EC76C3">
        <w:rPr>
          <w:rFonts w:ascii="Arial" w:eastAsia="Times New Roman" w:hAnsi="Arial" w:cs="Arial"/>
          <w:color w:val="3C3C3C"/>
          <w:sz w:val="21"/>
          <w:szCs w:val="21"/>
        </w:rPr>
        <w:t> etc.</w:t>
      </w:r>
    </w:p>
    <w:p w14:paraId="3B79838D"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80. Mai mult, comitetul limitat constată că, în ciuda cantității foarte mari de informații comunicate, acesta nu era nici ierarhic, nici organizat. Informațiile au luat forma unei liste lungi care acoperă diferitele puncte ale regulamentului. Consideră că o astfel de prezentare nu permite persoanelor vizate să găsească cu ușurință informațiile pe care le caută, obligându-i să citească toate notificările de informații. Prin urmare, consideră că prezentarea utilizată nu a îndeplinit cerința de accesibilitate prevăzută la articolul 12 din regulament, informată de orientările de transparență deja menționate.</w:t>
      </w:r>
    </w:p>
    <w:p w14:paraId="3FB88B18"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81. Comitetul restricționat a menționat că combinarea articolelor 12 și 13 din regulamente impune operatorului de date ca informațiile furnizate să fie complete și ușor de înțeles. Acest echilibru poate fi dificil de realizat atunci când, ca și în acest caz, datele prelucrate, scopurile urmărite și perioadele de păstrare sunt numeroase și diferite. Cu toate acestea, consideră că calitatea informațiilor furnizate este centrală în decizia persoanelor în cauză de a intra într-o relație comercială. Ca atare, comitetul restricționat consideră că compania ar fi trebuit să acorde o atenție deosebită informațiilor comunicate și, chiar înainte de verificările efectuate, ar fi dus la un rezultat mai lizibil pentru oameni.</w:t>
      </w:r>
    </w:p>
    <w:p w14:paraId="25BCED83"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2. În ceea ce privește conținutul informațiilor</w:t>
      </w:r>
    </w:p>
    <w:p w14:paraId="5BF0939A"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82. Raportorul consideră că informațiile comunicate persoanelor sunt incomplete din mai multe motive.</w:t>
      </w:r>
    </w:p>
    <w:p w14:paraId="375B730E"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83. În primul rând, indică faptul că operatorul de date nu este corect identificat pe site-ul carrefour.fr.</w:t>
      </w:r>
    </w:p>
    <w:p w14:paraId="4A59C072"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84. În al doilea rând, raportorul subliniază că temeiul juridic pentru operațiunile de prelucrare nu este indicat, întrucât compania indică doar faptul că datele cu caracter personal pot fi prelucrate datorită consimțământului utilizatorului, executării a contractului sau a interesului legitim al operatorului de date, fără alte detalii.</w:t>
      </w:r>
    </w:p>
    <w:p w14:paraId="70389F84"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85. În al treilea rând, raportorul consideră că informațiile referitoare la țările în care datele pot fi transferate nu sunt complete, garanțiile din jurul transferului nefiind specificate și nici mijloacele de a obține o copie a acestor garanții.</w:t>
      </w:r>
    </w:p>
    <w:p w14:paraId="474C7D72"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86. În al patrulea rând, consideră că indivizii nu sunt informați, pentru toate datele lor, cu privire la durata pentru care pot fi păstrați.</w:t>
      </w:r>
    </w:p>
    <w:p w14:paraId="5C7546DE"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87. În ceea ce privește toate aceste puncte, compania a indicat că a făcut modificări înainte și după notificarea raportului și a vizat aducerea acestuia în conformitate. Acesta susține că a furnizat, în ziua verificărilor, informații complete cu privire la mai multe puncte și, în special, datele de contact ale responsabilului său cu protecția datelor, destinatarii datelor, existența drepturilor. În ceea ce privește punctele în care recunoaște insuficiența informațiilor furnizate, aceasta indică faptul că și-a modificat informațiile în conformitate cu solicitările raportorului în timpul procedurii, în special în ceea ce privește identitatea operatorului de date, scopurile și bazele legale pentru operațiunile de prelucrare, perioadele de păstrare și transferul datelor cu caracter personal în afara Uniunii Europene.</w:t>
      </w:r>
    </w:p>
    <w:p w14:paraId="1A2CA54B"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lastRenderedPageBreak/>
        <w:t>88. Cu privire la primul punct, din constatările delegării de control rezultă că societatea CARREFOUR HYPERMARCHÉS a fost indicată ca fiind responsabilă pentru prelucrarea efectuată prin intermediul site-ului carrefour.fr. Companiile CARREFOUR HYPERMARCHÉS, CARREFOUR SUPERMARCHÉS FRANȚA, CARREFOUR PROXIMITÉ FRANȚA, CARREFOUR DRIVE și OOSHOP au fost desemnate în notificările de informații drept controlori de date comune pentru programul de loialitate.</w:t>
      </w:r>
    </w:p>
    <w:p w14:paraId="3DCDDE47"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89. Comitetul restricționat consideră, cu privire la primul punct, că responsabilitatea prelucrării efectuate de pe site-ul carrefour.fr revine companiei CARREFOUR FRANCE, care singură stabilește politica de marketing comună tuturor formatelor magazinelor din Franța. Această interpretare este în concordanță cu analiza companiei CARREFOUR FRANCE, care se consideră, de asemenea, operator de date, așa cum a indicat delegației de control din 28 mai 2019.</w:t>
      </w:r>
    </w:p>
    <w:p w14:paraId="1DD50DD5"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90. În consecință, comitetul restricționat consideră că informațiile furnizate pe site-ul carrefour.fr, precum și în condițiile generale de utilizare a cardului Carrefour erau incorecte.</w:t>
      </w:r>
    </w:p>
    <w:p w14:paraId="11805529"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91. Cu privire la al doilea punct, comitetul restricționat reamintește că persoanele vizate trebuie să fie informate cu privire la temeiul juridic al procesării (proceselor) implementate. Această cerință nu poate fi îndeplinită prin unica referință făcută la bazele legale existente atunci când sunt implementate mai multe operațiuni de prelucrare. În acest caz, oamenii nu sunt de fapt informați cu privire la baza legală aplicabilă fiecărei operațiuni de prelucrare efectuate.</w:t>
      </w:r>
    </w:p>
    <w:p w14:paraId="034FC2E4"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92. Comitetul restricționat consideră că indicarea temeiului juridic aplicabil fiecărui tratament are o importanță deosebită. Pe de o parte, permite persoanei vizate să aibă o evaluare generală a prelucrării efectuate, în special originea sa. Prin urmare, trebuie să poată ști dacă datele procesate se bazează pe consimțământul pe care l-a dat (și, prin urmare, ar putea să-l retragă) sau în baza unui contract încheiat cu operatorul de date. prelucrare, o obligație legală a acestuia din urmă sau interesul legitim al acestuia. Pe de altă parte, și mai ales, temeiul juridic aplicabil poate avea consecințe directe asupra drepturilor persoanelor. De exemplu, articolul 20 din GDPR prevede că dreptul la portabilitatea datelor se aplică atunci când prelucrarea se bazează pe consimțământ. Prin urmare, compania avea obligația de a specifica baza legală aplicabilă fiecărei prelucrări implementate.</w:t>
      </w:r>
    </w:p>
    <w:p w14:paraId="25F452C3"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93. Datorită absenței unor astfel de detalii, comitetul restricționat consideră că referințele făcute pe site-ul carrefour.fr erau incomplete.</w:t>
      </w:r>
    </w:p>
    <w:p w14:paraId="2917C395"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94. Cu privire la al treilea punct, comitetul restricționat subliniază că articolul 13 din reguli prevede, la punctul 1.f), că operatorul informează persoana vizată cu privire </w:t>
      </w:r>
      <w:r w:rsidRPr="00EC76C3">
        <w:rPr>
          <w:rFonts w:ascii="Arial" w:eastAsia="Times New Roman" w:hAnsi="Arial" w:cs="Arial"/>
          <w:i/>
          <w:iCs/>
          <w:color w:val="3C3C3C"/>
          <w:sz w:val="21"/>
          <w:szCs w:val="21"/>
        </w:rPr>
        <w:t>la existența sau absența unei decizii de „adecvarea oferită de Comisie sau, în cazul transferurilor menționate la articolul 46 sau 47, sau la articolul 49 alineatul (1) al doilea paragraf, trimiterea la garanții adecvate sau adecvate și mijloacele de obținere a acestor copie sau unde a fost pus la dispoziție</w:t>
      </w:r>
      <w:r w:rsidRPr="00EC76C3">
        <w:rPr>
          <w:rFonts w:ascii="Arial" w:eastAsia="Times New Roman" w:hAnsi="Arial" w:cs="Arial"/>
          <w:color w:val="3C3C3C"/>
          <w:sz w:val="21"/>
          <w:szCs w:val="21"/>
        </w:rPr>
        <w:t> .</w:t>
      </w:r>
    </w:p>
    <w:p w14:paraId="0FB6F337"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95. Comitetul restricționat a menționat că aceste informații nu au fost comunicate persoanelor interesate la momentul constatărilor făcute de delegația de control. Partea restricționată consideră că informațiile date pe site-ul carrefour.fr erau incomplete.</w:t>
      </w:r>
    </w:p>
    <w:p w14:paraId="789D2E6A"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96. Cu privire la al patrulea punct, comisia restricționată constată că articolul 13-2-a) din regulamente impune ca persoanele fizice să fie informate cu privire </w:t>
      </w:r>
      <w:r w:rsidRPr="00EC76C3">
        <w:rPr>
          <w:rFonts w:ascii="Arial" w:eastAsia="Times New Roman" w:hAnsi="Arial" w:cs="Arial"/>
          <w:i/>
          <w:iCs/>
          <w:color w:val="3C3C3C"/>
          <w:sz w:val="21"/>
          <w:szCs w:val="21"/>
        </w:rPr>
        <w:t>la perioada de păstrare a datelor cu caracter personal sau, atunci când acest lucru nu este posibil, criteriile utilizate pentru a determina această durată</w:t>
      </w:r>
      <w:r w:rsidRPr="00EC76C3">
        <w:rPr>
          <w:rFonts w:ascii="Arial" w:eastAsia="Times New Roman" w:hAnsi="Arial" w:cs="Arial"/>
          <w:color w:val="3C3C3C"/>
          <w:sz w:val="21"/>
          <w:szCs w:val="21"/>
        </w:rPr>
        <w:t> . Orientările privind transparența, care informează dispozițiile articolului 13, specifică faptul că </w:t>
      </w:r>
      <w:r w:rsidRPr="00EC76C3">
        <w:rPr>
          <w:rFonts w:ascii="Arial" w:eastAsia="Times New Roman" w:hAnsi="Arial" w:cs="Arial"/>
          <w:i/>
          <w:iCs/>
          <w:color w:val="3C3C3C"/>
          <w:sz w:val="21"/>
          <w:szCs w:val="21"/>
        </w:rPr>
        <w:t>perioada de păstrare (sau criteriile de determinare a acesteia) […] ar trebui formulată în așa fel încât persoana vizată să poată evalua […] care va fi perioada de păstrare pentru date specifice sau pentru scopuri specifice</w:t>
      </w:r>
      <w:r w:rsidRPr="00EC76C3">
        <w:rPr>
          <w:rFonts w:ascii="Arial" w:eastAsia="Times New Roman" w:hAnsi="Arial" w:cs="Arial"/>
          <w:color w:val="3C3C3C"/>
          <w:sz w:val="21"/>
          <w:szCs w:val="21"/>
        </w:rPr>
        <w:t xml:space="preserve"> . Comitetul restricționat observă că informațiile </w:t>
      </w:r>
      <w:r w:rsidRPr="00EC76C3">
        <w:rPr>
          <w:rFonts w:ascii="Arial" w:eastAsia="Times New Roman" w:hAnsi="Arial" w:cs="Arial"/>
          <w:color w:val="3C3C3C"/>
          <w:sz w:val="21"/>
          <w:szCs w:val="21"/>
        </w:rPr>
        <w:lastRenderedPageBreak/>
        <w:t>menționate nu au indicat perioadele de păstrare (sau criteriile utilizate pentru a le stabili) într-un mod sistematic pentru toate datele sau scopurile, în special datele de navigație sau datele conexe. achizițiile făcute. Ca urmare, oamenii nu au putut estima, pentru o cantitate mare de date, perioadele de păstrare stabilite de operatorul de date.</w:t>
      </w:r>
    </w:p>
    <w:p w14:paraId="410A8381"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97. Datorită absenței unor astfel de detalii, comitetul restricționat consideră că referințele făcute pe site-ul carrefour.fr erau incomplete.</w:t>
      </w:r>
    </w:p>
    <w:p w14:paraId="4B63D463"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98. Toate aceste elemente arată că informațiile comunicate oamenilor prin intermediul site-ului carrefour.fr și prin formularele de aderare la programul de loialitate pe hârtie nu erau ușor accesibile și erau incomplete. Prin urmare, comitetul restricționat consideră că a avut loc o încălcare a articolelor 12 și 13 din GDPR.</w:t>
      </w:r>
    </w:p>
    <w:p w14:paraId="4FD7C2B7"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99. Cu toate acestea, subliniază activitatea semnificativă de conformitate efectuată de companie în ceea ce privește informațiile furnizate pe site-ul său web și pe buletinele sale de hârtie. Notează că noile practici ale companiei sunt, în ziua reuniunii, în conformitate cu regulile. Compania demonstrează acum informații clare, transparente, ușor accesibile și complete pe toate mediile sale.</w:t>
      </w:r>
    </w:p>
    <w:p w14:paraId="2355BDC6"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D. Încălcarea legată de dreptul de acces</w:t>
      </w:r>
    </w:p>
    <w:p w14:paraId="2B5E1FDC"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100. Articolul 15 din GDPR prevede că persoanele vizate au dreptul de a obține de la operator confirmarea faptului că datele cu caracter personal care le privesc sunt procesate, precum și o anumită cantitate de informații, inclusiv orice informații disponibile cu privire la la originea datelor, atunci când acestea nu sunt colectate direct de către operatorul de date (articolul 15-1-g).</w:t>
      </w:r>
    </w:p>
    <w:p w14:paraId="54F906F9"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101. Referința </w:t>
      </w:r>
      <w:r w:rsidRPr="00EC76C3">
        <w:rPr>
          <w:rFonts w:ascii="Arial" w:eastAsia="Times New Roman" w:hAnsi="Arial" w:cs="Arial"/>
          <w:color w:val="3C3C3C"/>
          <w:sz w:val="16"/>
          <w:szCs w:val="16"/>
          <w:vertAlign w:val="superscript"/>
        </w:rPr>
        <w:t>nr.</w:t>
      </w:r>
      <w:r w:rsidRPr="00EC76C3">
        <w:rPr>
          <w:rFonts w:ascii="Arial" w:eastAsia="Times New Roman" w:hAnsi="Arial" w:cs="Arial"/>
          <w:color w:val="3C3C3C"/>
          <w:sz w:val="21"/>
          <w:szCs w:val="21"/>
        </w:rPr>
        <w:t> 19001627 din 21 ianuarie 2019, domnul [...] a explicat că a primit la 8 noiembrie 2018 o prospectare prin e-mail fără a comunica coordonatele sale în grupul CARREFOUR în trecut. El a indicat că în aceeași zi a solicitat originea datelor personale care îl priveau deținute de companie. La 15 noiembrie 2018, compania a răspuns pentru a obține o copie a documentului de identitate al reclamantului care a fost comunicat operatorului de date la 21 noiembrie. Domnul […] a explicat că, în ciuda mai multor memento-uri din 4 și 18 ianuarie 2019, nu a fost dat niciun răspuns la cererea sa, doar opoziția sa față de primirea prospectivului a fost luată în considerare.</w:t>
      </w:r>
    </w:p>
    <w:p w14:paraId="708D664E"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102. Din constatările făcute la 12 iunie 2019 reiese că acest reclamant a fost un fost client al companiei OOSHOP, al cărui site a fost ulterior integrat în site-ul carrefour.fr.</w:t>
      </w:r>
    </w:p>
    <w:p w14:paraId="7B9AB518"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103. Compania CARREFOUR FRANCE recunoaște că nu a comunicat inițial reclamantului originea datelor pe care le deținea referitoare la acesta, considerând că prelucra aceste date cu caracter personal ca parte a colectării directe și nu indirect și că originea datelor se numără printre informațiile care trebuie comunicate pe baza articolului 15 din regulament numai în cazul colectării indirecte a datelor cu caracter personal.</w:t>
      </w:r>
    </w:p>
    <w:p w14:paraId="7922562C"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104. În acest sens, grupul restricționat constată că reclamantul a creat anterior un cont pe site-ul web al ooshop. Cu această ocazie, datele personale care îl priveau au fost colectate de compania OOSHOP. Partea restricționată consideră că fuziunea ulterioară între site-ul web ooshop și site-ul carrefour.fr nu conferă companiei CARREFOUR FRANCE calitatea de colectare de către terți a datelor cu caracter personal. Într-adevăr, datele cu caracter personal au fost transmise către compania CARREFOUR FRANCE de către compania OOSHOP, ceea ce corespunde cazului de colectare indirectă, datele nefiind colectate de CARREFOUR FRANCE de la persoana în cauză. Prin urmare, comitetul restricționat consideră că CARREFOUR FRANCE a fost obligată să informeze reclamantul cu privire la originea datelor ca parte a cererii sale de acces, în conformitate cu articolul 15-1-g) din GDPR.</w:t>
      </w:r>
    </w:p>
    <w:p w14:paraId="3550CAF3"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lastRenderedPageBreak/>
        <w:t>105. Comitetul restricționat reamintește că faptul că reclamantul a fost informat cu privire la fuziunea dintre site-ul ooshop și site-ul carrefour.fr înainte de solicitarea sa către companie nu a scutit operatorul de date de obligația sa de a furniza informații cu privire la originea datelor, formulate de reclamant în exercitarea drepturilor sale.</w:t>
      </w:r>
    </w:p>
    <w:p w14:paraId="77869495"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106. Aceste elemente arată că a existat o încălcare a articolului 15 din reguli.</w:t>
      </w:r>
    </w:p>
    <w:p w14:paraId="00FEFCD6"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107. Cu toate acestea, comitetul restricționat subliniază că societatea a acceptat cererea reclamantului la 19 iunie 2019, după controlul efectuat, dar înainte de inițierea procedurii de sancționare, și că, prin urmare, încălcarea nu a mai fost stabilită. a sesiunii.</w:t>
      </w:r>
    </w:p>
    <w:p w14:paraId="51365603"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E. Încălcarea legată de dreptul la ștergere</w:t>
      </w:r>
    </w:p>
    <w:p w14:paraId="2C8E9ABE"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108. Articolul 17 din regulament definește condițiile în care persoanele vizate au dreptul la ștergerea datelor lor personale. Articolul 17-1-c), în special, oferă acest drept atunci când datele nu mai sunt necesare în scopul prelucrării sau când persoana se opune prelucrării efectuate în scopuri de prospectare.</w:t>
      </w:r>
    </w:p>
    <w:p w14:paraId="75D32E4E"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109. Comisia a primit mai multe plângeri legate de dificultățile întâmpinate în exercitarea acestui drept.</w:t>
      </w:r>
    </w:p>
    <w:p w14:paraId="41A46AE2"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110. Referința </w:t>
      </w:r>
      <w:r w:rsidRPr="00EC76C3">
        <w:rPr>
          <w:rFonts w:ascii="Arial" w:eastAsia="Times New Roman" w:hAnsi="Arial" w:cs="Arial"/>
          <w:color w:val="3C3C3C"/>
          <w:sz w:val="16"/>
          <w:szCs w:val="16"/>
          <w:vertAlign w:val="superscript"/>
        </w:rPr>
        <w:t>nr.</w:t>
      </w:r>
      <w:r w:rsidRPr="00EC76C3">
        <w:rPr>
          <w:rFonts w:ascii="Arial" w:eastAsia="Times New Roman" w:hAnsi="Arial" w:cs="Arial"/>
          <w:color w:val="3C3C3C"/>
          <w:sz w:val="21"/>
          <w:szCs w:val="21"/>
        </w:rPr>
        <w:t> 18011774 din 8 iunie 2018, domnul [...] a preluat CNIL, spunând că a solicitat ștergerea datelor fără a obține un răspuns favorabil la cererea sa, care s-a concentrat în special pe ștergerea adresei poșta electronică, utilizată de companie în scopuri de prospecțiune comercială.</w:t>
      </w:r>
    </w:p>
    <w:p w14:paraId="5BA54661"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111. Constatările făcute în timpul verificării din 12 iunie 2019 au relevat prezența adresei de e-mail a reclamantului în bazele de date ale companiei.</w:t>
      </w:r>
    </w:p>
    <w:p w14:paraId="6E89CEC1"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112. În apărare, compania a explicat că adresa de e-mail servește ca cheie de intrare pentru baza de date în cauză și că, prin urmare, nu poate fi ștearsă. De asemenea, a indicat că situația nu a implicat niciun prejudiciu pentru reclamant, opoziția sa față de prospecție fiind luată în considerare.</w:t>
      </w:r>
    </w:p>
    <w:p w14:paraId="37CDA1F3"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113. Comitetul restricționat subliniază, în primul rând, că cererea de ștergere a dlui […] din 28 mai 2018 a fost amplă și explicită: </w:t>
      </w:r>
      <w:r w:rsidRPr="00EC76C3">
        <w:rPr>
          <w:rFonts w:ascii="Arial" w:eastAsia="Times New Roman" w:hAnsi="Arial" w:cs="Arial"/>
          <w:i/>
          <w:iCs/>
          <w:color w:val="3C3C3C"/>
          <w:sz w:val="21"/>
          <w:szCs w:val="21"/>
        </w:rPr>
        <w:t>vă rog să ștergeți toate datele pe care le aveți despre mine.</w:t>
      </w:r>
      <w:r w:rsidRPr="00EC76C3">
        <w:rPr>
          <w:rFonts w:ascii="Arial" w:eastAsia="Times New Roman" w:hAnsi="Arial" w:cs="Arial"/>
          <w:color w:val="3C3C3C"/>
          <w:sz w:val="21"/>
          <w:szCs w:val="21"/>
        </w:rPr>
        <w:t> </w:t>
      </w:r>
      <w:r w:rsidRPr="00EC76C3">
        <w:rPr>
          <w:rFonts w:ascii="Arial" w:eastAsia="Times New Roman" w:hAnsi="Arial" w:cs="Arial"/>
          <w:i/>
          <w:iCs/>
          <w:color w:val="3C3C3C"/>
          <w:sz w:val="21"/>
          <w:szCs w:val="21"/>
        </w:rPr>
        <w:t>Aceste date vor fi atașate la adresa de e-mail</w:t>
      </w:r>
      <w:r w:rsidRPr="00EC76C3">
        <w:rPr>
          <w:rFonts w:ascii="Arial" w:eastAsia="Times New Roman" w:hAnsi="Arial" w:cs="Arial"/>
          <w:color w:val="3C3C3C"/>
          <w:sz w:val="21"/>
          <w:szCs w:val="21"/>
        </w:rPr>
        <w:t> […] </w:t>
      </w:r>
      <w:r w:rsidRPr="00EC76C3">
        <w:rPr>
          <w:rFonts w:ascii="Arial" w:eastAsia="Times New Roman" w:hAnsi="Arial" w:cs="Arial"/>
          <w:i/>
          <w:iCs/>
          <w:color w:val="3C3C3C"/>
          <w:sz w:val="21"/>
          <w:szCs w:val="21"/>
        </w:rPr>
        <w:t>@</w:t>
      </w:r>
      <w:r w:rsidRPr="00EC76C3">
        <w:rPr>
          <w:rFonts w:ascii="Arial" w:eastAsia="Times New Roman" w:hAnsi="Arial" w:cs="Arial"/>
          <w:color w:val="3C3C3C"/>
          <w:sz w:val="21"/>
          <w:szCs w:val="21"/>
        </w:rPr>
        <w:t> […] </w:t>
      </w:r>
      <w:r w:rsidRPr="00EC76C3">
        <w:rPr>
          <w:rFonts w:ascii="Arial" w:eastAsia="Times New Roman" w:hAnsi="Arial" w:cs="Arial"/>
          <w:i/>
          <w:iCs/>
          <w:color w:val="3C3C3C"/>
          <w:sz w:val="21"/>
          <w:szCs w:val="21"/>
        </w:rPr>
        <w:t>.com.</w:t>
      </w:r>
    </w:p>
    <w:p w14:paraId="66CAA70A"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114. Comitetul restricționat ia act de faptul că compania a ales să utilizeze ca cheie de intrare în baza sa de date adresa de e-mail a persoanelor, deci datele personale. Această decizie pur practică, fără ca conservarea datelor în cauză să fie justificată de vreun scop legitim cu privire la elementele fișierului, nu poate permite ca acesta să fie scutit de obligațiile sale în ceea ce privește exercitarea drepturilor. Comitetul restricționat consideră că domnul […] ar putea, în mod legitim, pe baza articolului 17-1 c) din regulament, să solicite ștergerea datelor sale utilizate în scopuri de prospecție comercială și, prin urmare, a revenit companiei '' să accepte această cerere și să creeze un sistem de organizare a bazei de date care nu a încălcat acest drept. În acest caz, grupul restricționat constată că societatea nu și-a respectat obligațiile care îi revin în temeiul articolului 17 din regulamente.</w:t>
      </w:r>
    </w:p>
    <w:p w14:paraId="07771A94"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115. Cu toate acestea, comitetul restricționat a observat că societatea a modificat arhitectura bazelor sale după notificarea raportului de sancțiune. Noul mod de funcționare nu mai folosește datele cu caracter personal ca cheie de intrare în baza de date, iar cererea dlui […] a fost acceptată.</w:t>
      </w:r>
    </w:p>
    <w:p w14:paraId="7F436179"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lastRenderedPageBreak/>
        <w:t>116. Referința </w:t>
      </w:r>
      <w:r w:rsidRPr="00EC76C3">
        <w:rPr>
          <w:rFonts w:ascii="Arial" w:eastAsia="Times New Roman" w:hAnsi="Arial" w:cs="Arial"/>
          <w:color w:val="3C3C3C"/>
          <w:sz w:val="16"/>
          <w:szCs w:val="16"/>
          <w:vertAlign w:val="superscript"/>
        </w:rPr>
        <w:t>nr.</w:t>
      </w:r>
      <w:r w:rsidRPr="00EC76C3">
        <w:rPr>
          <w:rFonts w:ascii="Arial" w:eastAsia="Times New Roman" w:hAnsi="Arial" w:cs="Arial"/>
          <w:color w:val="3C3C3C"/>
          <w:sz w:val="21"/>
          <w:szCs w:val="21"/>
        </w:rPr>
        <w:t> 18013824 din 7 iulie 2018, doamna [...] a confiscat CNIL, spunând că a cerut companiei să șteargă toate datele cu caracter personal care îl priveau, fără a obține un răspuns favorabil la cererea sa.</w:t>
      </w:r>
    </w:p>
    <w:p w14:paraId="56FF6A9F"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117. Constatările făcute în timpul verificării au relevat prezența numelui, prenumelui, datei nașterii și numărului de telefon al reclamantului în bazele de date ale companiei.</w:t>
      </w:r>
    </w:p>
    <w:p w14:paraId="1FAA45C8"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118. În apărare, compania a explicat că prezența acestor date a fost rezultatul unei erori unice și că nu a avut consecințe pentru reclamant, fiind luată în considerare opoziția sa de a primi prospecțiuni comerciale.</w:t>
      </w:r>
    </w:p>
    <w:p w14:paraId="6243D256"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119. Grupul restricționat consideră că doamna [...] ar putea, în mod legitim, pe baza articolului 17-1 c) din regulament, să solicite ștergerea datelor sale utilizate în scopul prospectării comerciale. Prin urmare, se constată încălcarea articolului 17 din reguli.</w:t>
      </w:r>
    </w:p>
    <w:p w14:paraId="5EE90E6C"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120. Comitetul restricționat observă totuși că compania a acceptat cererea Madamei […] la 12 mai 2020.</w:t>
      </w:r>
    </w:p>
    <w:p w14:paraId="2DDB35A1"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121. Referința </w:t>
      </w:r>
      <w:r w:rsidRPr="00EC76C3">
        <w:rPr>
          <w:rFonts w:ascii="Arial" w:eastAsia="Times New Roman" w:hAnsi="Arial" w:cs="Arial"/>
          <w:color w:val="3C3C3C"/>
          <w:sz w:val="16"/>
          <w:szCs w:val="16"/>
          <w:vertAlign w:val="superscript"/>
        </w:rPr>
        <w:t>nr.</w:t>
      </w:r>
      <w:r w:rsidRPr="00EC76C3">
        <w:rPr>
          <w:rFonts w:ascii="Arial" w:eastAsia="Times New Roman" w:hAnsi="Arial" w:cs="Arial"/>
          <w:color w:val="3C3C3C"/>
          <w:sz w:val="21"/>
          <w:szCs w:val="21"/>
        </w:rPr>
        <w:t> 19001602 din 19 ianuarie 2019, domnul [...] a preluat CNIL, spunând că a solicitat de două ori ștergerea datelor sale și continuă să primească dezvoltarea afacerii.</w:t>
      </w:r>
    </w:p>
    <w:p w14:paraId="4DA526A6"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122. Constatările făcute în timpul inspecției au relevat prezența numelui, prenumelui, datei nașterii și a adreselor poștale și electronice ale reclamantului în bazele de date ale companiei.</w:t>
      </w:r>
    </w:p>
    <w:p w14:paraId="53C87AE1"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123. Compania explică faptul că datele colectate nu au fost integrate într-o bază de date utilizată pentru prospectarea comercială. Acesta susține că, în caz de opoziție la prospectare, aceasta acceptă această cerere, dar nu șterge datele din bazele de date care nu sunt dedicate prospecțiunii.</w:t>
      </w:r>
    </w:p>
    <w:p w14:paraId="4D1EFC01"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124. Instruirea limitată constă în faptul că cererea pentru domnul [...], pe baza judecării datelor de ștergere și ștergere, a fost fără echivoc. Primul e-mail către companie, reclamantul a explicat </w:t>
      </w:r>
      <w:r w:rsidRPr="00EC76C3">
        <w:rPr>
          <w:rFonts w:ascii="Arial" w:eastAsia="Times New Roman" w:hAnsi="Arial" w:cs="Arial"/>
          <w:i/>
          <w:iCs/>
          <w:color w:val="3C3C3C"/>
          <w:sz w:val="21"/>
          <w:szCs w:val="21"/>
        </w:rPr>
        <w:t>că doresc obțin închiderea contului meu și, în conformitate cu articolele 38 și următoarele din Legea privind protecția datelor din 6 ianuarie 1978 modificată, vă mulțumesc pentru ștergerea tuturor datelor mele personale atașate acestui cont</w:t>
      </w:r>
      <w:r w:rsidRPr="00EC76C3">
        <w:rPr>
          <w:rFonts w:ascii="Arial" w:eastAsia="Times New Roman" w:hAnsi="Arial" w:cs="Arial"/>
          <w:color w:val="3C3C3C"/>
          <w:sz w:val="21"/>
          <w:szCs w:val="21"/>
        </w:rPr>
        <w:t> . Într-o a doua scrisoare, el a specificat </w:t>
      </w:r>
      <w:r w:rsidRPr="00EC76C3">
        <w:rPr>
          <w:rFonts w:ascii="Arial" w:eastAsia="Times New Roman" w:hAnsi="Arial" w:cs="Arial"/>
          <w:i/>
          <w:iCs/>
          <w:color w:val="3C3C3C"/>
          <w:sz w:val="21"/>
          <w:szCs w:val="21"/>
        </w:rPr>
        <w:t>Astfel, îmi reiterez solicitarea: în aplicarea articolelor 21.1 și 17.1.c din Regulamentul general privind protecția datelor (RGPD), vă mulțumesc pentru ștergerea datelor personale care mă privesc pe următoarele site-uri: carrefour.fr și courses-en-ligne.carrefour.fr</w:t>
      </w:r>
      <w:r w:rsidRPr="00EC76C3">
        <w:rPr>
          <w:rFonts w:ascii="Arial" w:eastAsia="Times New Roman" w:hAnsi="Arial" w:cs="Arial"/>
          <w:color w:val="3C3C3C"/>
          <w:sz w:val="21"/>
          <w:szCs w:val="21"/>
        </w:rPr>
        <w:t> . Domnul [...] având dreptul să solicite o astfel de ștergere în temeiul articolului 17-1 c), compania a rămas la latitudinea societății, cu excepția cazului în care aceasta din urmă justifică păstrarea datelor într-un scop legitim, să acorde această cerere . Prin urmare, se constată încălcarea articolului 17 din reguli.</w:t>
      </w:r>
    </w:p>
    <w:p w14:paraId="38B68C47"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125. Comitetul restricționat observă totuși că, contestând evaluarea raportorului, compania a acceptat cererea domnului [...] prin ștergerea tuturor datelor care îl priveau.</w:t>
      </w:r>
    </w:p>
    <w:p w14:paraId="4E30586F"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126. sesizare nr </w:t>
      </w:r>
      <w:r w:rsidRPr="00EC76C3">
        <w:rPr>
          <w:rFonts w:ascii="Arial" w:eastAsia="Times New Roman" w:hAnsi="Arial" w:cs="Arial"/>
          <w:color w:val="3C3C3C"/>
          <w:sz w:val="16"/>
          <w:szCs w:val="16"/>
          <w:vertAlign w:val="superscript"/>
        </w:rPr>
        <w:t>.</w:t>
      </w:r>
      <w:r w:rsidRPr="00EC76C3">
        <w:rPr>
          <w:rFonts w:ascii="Arial" w:eastAsia="Times New Roman" w:hAnsi="Arial" w:cs="Arial"/>
          <w:color w:val="3C3C3C"/>
          <w:sz w:val="21"/>
          <w:szCs w:val="21"/>
        </w:rPr>
        <w:t> 19.006.872 din 6 aprilie 2019, domnul [...] a preluat CNIL, spunând că a solicitat companiei ștergerea adresei sale poștale fără a obține un răspuns favorabil la cererea sa.</w:t>
      </w:r>
    </w:p>
    <w:p w14:paraId="2FBD6F98"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127. Constatările făcute în timpul verificării au relevat prezența numelui de familie, prenumele, data nașterii, numerele de telefon fix și mobil și adresele poștale și electronice ale reclamantului în bazele de date ale companiei.</w:t>
      </w:r>
    </w:p>
    <w:p w14:paraId="116EE8D2"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128. Compania explică faptul că prezența adresei poștale a reclamantului a fost rezultatul unei erori unice și nu a avut consecințe, întrucât opoziția sa de a primi prospecții comerciale a fost luată în considerare.</w:t>
      </w:r>
    </w:p>
    <w:p w14:paraId="66E68885"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lastRenderedPageBreak/>
        <w:t>129. Grupul restricționat consideră că domnul […] ar putea, în mod legitim, pe baza articolului 17-1 c) din reguli, să solicite ștergerea datelor sale. Prin urmare, se constată încălcarea articolului 17 din reguli.</w:t>
      </w:r>
    </w:p>
    <w:p w14:paraId="3510340D"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130. Cu toate acestea, comitetul restricționat a observat că compania și-a rectificat eroarea imediat ce a fost informată, în urma verificării efectuate la 11 iunie 2019.</w:t>
      </w:r>
    </w:p>
    <w:p w14:paraId="49A9B97A"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131. </w:t>
      </w:r>
      <w:r w:rsidRPr="00EC76C3">
        <w:rPr>
          <w:rFonts w:ascii="Arial" w:eastAsia="Times New Roman" w:hAnsi="Arial" w:cs="Arial"/>
          <w:b/>
          <w:bCs/>
          <w:color w:val="3C3C3C"/>
          <w:sz w:val="21"/>
          <w:szCs w:val="21"/>
        </w:rPr>
        <w:t>În concluzie cu privire la aceste neajunsuri</w:t>
      </w:r>
      <w:r w:rsidRPr="00EC76C3">
        <w:rPr>
          <w:rFonts w:ascii="Arial" w:eastAsia="Times New Roman" w:hAnsi="Arial" w:cs="Arial"/>
          <w:color w:val="3C3C3C"/>
          <w:sz w:val="21"/>
          <w:szCs w:val="21"/>
        </w:rPr>
        <w:t> , comitetul restricționat consideră că, dacă, după o cerere de ștergere, anumite date cu caracter personal ale clienților pot fi păstrate, în special în conformitate cu obligațiile legale sau în scopuri probatorii sau atunci când compania are un motiv legitim imperativ, datele cu caracter personal care nu sunt necesare pentru îndeplinirea acestor alte obligații sau scopuri trebuie șterse după exercitarea acestui drept de îndată ce sunt îndeplinite condițiile stabilite la articolul 17 din GDPR. În această privință, observă că acesta a fost cazul prelucrării în scopul prospectării și că din elementele procedurii nu reiese că păstrarea datelor în cauză a fost legitimă pe o altă bază.</w:t>
      </w:r>
    </w:p>
    <w:p w14:paraId="0F3D6699"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132. În plus, comitetul restricționat reamintește că operatorul de date are obligația de a se apropia de persoana vizată atunci când consideră că solicitările primite nu conțin toate elementele care îi permit să efectueze operațiunile de care are nevoie. sunt solicitate (articolul 142 din decretul nr </w:t>
      </w:r>
      <w:r w:rsidRPr="00EC76C3">
        <w:rPr>
          <w:rFonts w:ascii="Arial" w:eastAsia="Times New Roman" w:hAnsi="Arial" w:cs="Arial"/>
          <w:color w:val="3C3C3C"/>
          <w:sz w:val="16"/>
          <w:szCs w:val="16"/>
          <w:vertAlign w:val="superscript"/>
        </w:rPr>
        <w:t>.</w:t>
      </w:r>
      <w:r w:rsidRPr="00EC76C3">
        <w:rPr>
          <w:rFonts w:ascii="Arial" w:eastAsia="Times New Roman" w:hAnsi="Arial" w:cs="Arial"/>
          <w:color w:val="3C3C3C"/>
          <w:sz w:val="21"/>
          <w:szCs w:val="21"/>
        </w:rPr>
        <w:t> 2019-536 din 29 mai 2019 adoptat pentru aplicarea legii nr </w:t>
      </w:r>
      <w:r w:rsidRPr="00EC76C3">
        <w:rPr>
          <w:rFonts w:ascii="Arial" w:eastAsia="Times New Roman" w:hAnsi="Arial" w:cs="Arial"/>
          <w:color w:val="3C3C3C"/>
          <w:sz w:val="16"/>
          <w:szCs w:val="16"/>
          <w:vertAlign w:val="superscript"/>
        </w:rPr>
        <w:t>.</w:t>
      </w:r>
      <w:r w:rsidRPr="00EC76C3">
        <w:rPr>
          <w:rFonts w:ascii="Arial" w:eastAsia="Times New Roman" w:hAnsi="Arial" w:cs="Arial"/>
          <w:color w:val="3C3C3C"/>
          <w:sz w:val="21"/>
          <w:szCs w:val="21"/>
        </w:rPr>
        <w:t> 78-17 din 6 ianuarie 1978 privind prelucrarea datelor, fișiere și libertăți, fostul articol 94 din decret n </w:t>
      </w:r>
      <w:r w:rsidRPr="00EC76C3">
        <w:rPr>
          <w:rFonts w:ascii="Arial" w:eastAsia="Times New Roman" w:hAnsi="Arial" w:cs="Arial"/>
          <w:color w:val="3C3C3C"/>
          <w:sz w:val="16"/>
          <w:szCs w:val="16"/>
          <w:vertAlign w:val="superscript"/>
        </w:rPr>
        <w:t>o</w:t>
      </w:r>
      <w:r w:rsidRPr="00EC76C3">
        <w:rPr>
          <w:rFonts w:ascii="Arial" w:eastAsia="Times New Roman" w:hAnsi="Arial" w:cs="Arial"/>
          <w:color w:val="3C3C3C"/>
          <w:sz w:val="21"/>
          <w:szCs w:val="21"/>
        </w:rPr>
        <w:t>2005-1309 din 20 octombrie 2005). Prin urmare, comitetul restricționat consideră că, dacă compania CARREFOUR FRANCE consideră că cererile de ștergere erau prea largi și că nu le putea acorda pe baza unui interes legitim superior sau pentru că ștergerea nu era nu a fost posibil pe baza articolului 17 din GDPR, a rămas la latitudinea sa să ia legătura cu persoanele în cauză, ceea ce nu a făcut în acest caz.</w:t>
      </w:r>
    </w:p>
    <w:p w14:paraId="4195B6ED"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133. În consecință, în fiecare dintre cazurile menționate anterior, societatea nu și-a respectat obligațiile care îi revin în temeiul articolului 17 din regulament și că se caracterizează o încălcare.</w:t>
      </w:r>
    </w:p>
    <w:p w14:paraId="2797768B"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F. Cu privire la încălcarea dreptului de a se opune prelucrării datelor cu caracter personal în scopuri de prospectare comercială</w:t>
      </w:r>
    </w:p>
    <w:p w14:paraId="78AB812B"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134. Articolul 21 al doilea paragraf din regulament prevede că, </w:t>
      </w:r>
      <w:r w:rsidRPr="00EC76C3">
        <w:rPr>
          <w:rFonts w:ascii="Arial" w:eastAsia="Times New Roman" w:hAnsi="Arial" w:cs="Arial"/>
          <w:i/>
          <w:iCs/>
          <w:color w:val="3C3C3C"/>
          <w:sz w:val="21"/>
          <w:szCs w:val="21"/>
        </w:rPr>
        <w:t>atunci când datele cu caracter personal sunt prelucrate în scopuri de prospectare, persoana vizată are dreptul să se opună oricând la prelucrarea datelor cu caracter personal care îl privesc. pentru astfel de scopuri de prospectare</w:t>
      </w:r>
      <w:r w:rsidRPr="00EC76C3">
        <w:rPr>
          <w:rFonts w:ascii="Arial" w:eastAsia="Times New Roman" w:hAnsi="Arial" w:cs="Arial"/>
          <w:color w:val="3C3C3C"/>
          <w:sz w:val="21"/>
          <w:szCs w:val="21"/>
        </w:rPr>
        <w:t> .</w:t>
      </w:r>
    </w:p>
    <w:p w14:paraId="6687442E"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135. Referința </w:t>
      </w:r>
      <w:r w:rsidRPr="00EC76C3">
        <w:rPr>
          <w:rFonts w:ascii="Arial" w:eastAsia="Times New Roman" w:hAnsi="Arial" w:cs="Arial"/>
          <w:color w:val="3C3C3C"/>
          <w:sz w:val="16"/>
          <w:szCs w:val="16"/>
          <w:vertAlign w:val="superscript"/>
        </w:rPr>
        <w:t>nr.</w:t>
      </w:r>
      <w:r w:rsidRPr="00EC76C3">
        <w:rPr>
          <w:rFonts w:ascii="Arial" w:eastAsia="Times New Roman" w:hAnsi="Arial" w:cs="Arial"/>
          <w:color w:val="3C3C3C"/>
          <w:sz w:val="21"/>
          <w:szCs w:val="21"/>
        </w:rPr>
        <w:t> 18019816 din </w:t>
      </w:r>
      <w:r w:rsidRPr="00EC76C3">
        <w:rPr>
          <w:rFonts w:ascii="Arial" w:eastAsia="Times New Roman" w:hAnsi="Arial" w:cs="Arial"/>
          <w:color w:val="3C3C3C"/>
          <w:sz w:val="16"/>
          <w:szCs w:val="16"/>
          <w:vertAlign w:val="superscript"/>
        </w:rPr>
        <w:t>1</w:t>
      </w:r>
      <w:r w:rsidRPr="00EC76C3">
        <w:rPr>
          <w:rFonts w:ascii="Arial" w:eastAsia="Times New Roman" w:hAnsi="Arial" w:cs="Arial"/>
          <w:color w:val="3C3C3C"/>
          <w:sz w:val="21"/>
          <w:szCs w:val="21"/>
        </w:rPr>
        <w:t> octombrie 2018, domnul [...] a preluat CNIL, spunând că a continuat să primească publicitate prin SMS de la companie, deși opoziția a exprimat anterior prelucrarea datelor sale personale către scopuri de prospectare comercială.</w:t>
      </w:r>
    </w:p>
    <w:p w14:paraId="6E4F98C3"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136. Constatările făcute în timpul inspecției din 11 iunie 2019 au arătat că opoziția reclamantului nu a fost transcrisă în bazele de date ale companiei, nepermițând astfel să fie luată efectiv în considerare.</w:t>
      </w:r>
    </w:p>
    <w:p w14:paraId="7EA45AEF"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137. Compania explică faptul că această eroare unică se datorează unei deficiențe din partea furnizorului său de servicii care nu i-a trimis opoziția în cauză.</w:t>
      </w:r>
    </w:p>
    <w:p w14:paraId="02418AD3"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 xml:space="preserve">138. Comitetul restricționat constată că rezultatele constatărilor făcute în timpul inspecției, cum ar fi documentele comunicate de companie, furnizorul de servicii […] comunică companiei obiecțiile exprimate de oameni de-a lungul timpului. Aceste transmisii sunt, de asemenea, compilate în timpul unei trimiteri lunare, singura luată în considerare de companie pentru a transcrie opozițiile în baza de date, așa cum a indicat în contextul procedurii. Din documentele comunicate de companie în cursul procedurii reiese că opoziția domnului […] nu a fost transmisă într-o scrisoare compilată în </w:t>
      </w:r>
      <w:r w:rsidRPr="00EC76C3">
        <w:rPr>
          <w:rFonts w:ascii="Arial" w:eastAsia="Times New Roman" w:hAnsi="Arial" w:cs="Arial"/>
          <w:color w:val="3C3C3C"/>
          <w:sz w:val="21"/>
          <w:szCs w:val="21"/>
        </w:rPr>
        <w:lastRenderedPageBreak/>
        <w:t>ziua controlului, 11 iunie 2019. Cu toate acestea, comitetul restricționat subliniază că compania a primit această opoziție în contextul transmiterii de-a lungul timpului și că, prin urmare, ar fi trebuit să înceteze orice prospectare comercială către reclamant. În orice caz, delegația a menționat că această opoziție nu a fost luată în considerare în ziua controlului.</w:t>
      </w:r>
    </w:p>
    <w:p w14:paraId="277767D7"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139. În consecință, se constată o încălcare a articolului 21 din reguli.</w:t>
      </w:r>
    </w:p>
    <w:p w14:paraId="2AD77CE0"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140. Comitetul restricționat observă totuși că această eroare a fost corectată de companie în timpul controlului efectuat la 11 iunie 2019. Subliniază în special faptul că compania a utilizat mijloace semnificative pentru a revizui cu atenție impactul obiecțiilor exprimate prin SMS în baze de date în contextul acestei proceduri. Observă că opozițiile sunt primite, procesate și transcrise direct în baza de date, asigurându-se un mai bun respect al drepturilor.</w:t>
      </w:r>
    </w:p>
    <w:p w14:paraId="27DE58B8"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141. Referința </w:t>
      </w:r>
      <w:r w:rsidRPr="00EC76C3">
        <w:rPr>
          <w:rFonts w:ascii="Arial" w:eastAsia="Times New Roman" w:hAnsi="Arial" w:cs="Arial"/>
          <w:color w:val="3C3C3C"/>
          <w:sz w:val="16"/>
          <w:szCs w:val="16"/>
          <w:vertAlign w:val="superscript"/>
        </w:rPr>
        <w:t>nr.</w:t>
      </w:r>
      <w:r w:rsidRPr="00EC76C3">
        <w:rPr>
          <w:rFonts w:ascii="Arial" w:eastAsia="Times New Roman" w:hAnsi="Arial" w:cs="Arial"/>
          <w:color w:val="3C3C3C"/>
          <w:sz w:val="21"/>
          <w:szCs w:val="21"/>
        </w:rPr>
        <w:t> 18023308 din 22 noiembrie 2018, domnul [...] a preluat CNIL, spunând că a continuat să primească publicitate prin SMS de la companie, în ciuda mai multor obiecții exprimate anterior.</w:t>
      </w:r>
    </w:p>
    <w:p w14:paraId="17FE5F4A"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142. Constatările făcute în timpul verificării au arătat că opoziția reclamantului nu a fost transcrisă în bazele de date ale companiei.</w:t>
      </w:r>
    </w:p>
    <w:p w14:paraId="149A688F"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143. Compania explică faptul că această lipsă de transcriere provine din eroarea umană internă.</w:t>
      </w:r>
    </w:p>
    <w:p w14:paraId="02AA0527"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144. Prin urmare, grupul restricționat consideră că societatea nu și-a respectat obligațiile care îi revin în temeiul articolului 21 din reguli.</w:t>
      </w:r>
    </w:p>
    <w:p w14:paraId="4F945C6B"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145. Cu toate acestea, observă că opoziția reclamantului a fost luată în considerare și transcrisă în baza de date în timpul verificării efectuate la 11 iunie 2019.</w:t>
      </w:r>
    </w:p>
    <w:p w14:paraId="09AA5802"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146. </w:t>
      </w:r>
      <w:r w:rsidRPr="00EC76C3">
        <w:rPr>
          <w:rFonts w:ascii="Arial" w:eastAsia="Times New Roman" w:hAnsi="Arial" w:cs="Arial"/>
          <w:b/>
          <w:bCs/>
          <w:color w:val="3C3C3C"/>
          <w:sz w:val="21"/>
          <w:szCs w:val="21"/>
        </w:rPr>
        <w:t>În concluzie cu privire la aceste încălcări</w:t>
      </w:r>
      <w:r w:rsidRPr="00EC76C3">
        <w:rPr>
          <w:rFonts w:ascii="Arial" w:eastAsia="Times New Roman" w:hAnsi="Arial" w:cs="Arial"/>
          <w:color w:val="3C3C3C"/>
          <w:sz w:val="21"/>
          <w:szCs w:val="21"/>
        </w:rPr>
        <w:t> , comitetul restricționat consideră că, în fiecare dintre cazurile menționate anterior, compania nu și-a respectat obligațiile care îi revin în temeiul articolului 21 din regulamente și că o încălcare a fost caracterizată în ziua controlului, deoarece , deși a oferit persoanelor interesate un mijloc de a-și exercita dreptul de a obiecta, acest lucru nu a fost luat în considerare în mod sistematic. Cu toate acestea, subliniază că toate reclamațiile au fost tratate de companie în cursul procedurii, fie imediat în timpul inspecțiilor, fie în urma discuțiilor sale cu raportorul.</w:t>
      </w:r>
    </w:p>
    <w:p w14:paraId="66FEF4C1"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G. Cu privire la încălcarea legată de dreptul de a obiecta la prospectare prin mijloace electronice</w:t>
      </w:r>
    </w:p>
    <w:p w14:paraId="5E007A83"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147. Articolul L34-5 primul paragraf din Codul comunicațiilor poștale și electronice prevede că </w:t>
      </w:r>
      <w:r w:rsidRPr="00EC76C3">
        <w:rPr>
          <w:rFonts w:ascii="Arial" w:eastAsia="Times New Roman" w:hAnsi="Arial" w:cs="Arial"/>
          <w:i/>
          <w:iCs/>
          <w:color w:val="3C3C3C"/>
          <w:sz w:val="21"/>
          <w:szCs w:val="21"/>
        </w:rPr>
        <w:t>prospectarea directă prin intermediul unui sistem automatizat de comunicații electronice în sensul articolului L. 32, litera 6 d „un fax sau o poștă electronică utilizând datele de contact ale unei persoane fizice, abonate sau utilizatori, care nu și-a exprimat anterior consimțământul pentru a primi prospecții directe prin acest mijloc.</w:t>
      </w:r>
      <w:r w:rsidRPr="00EC76C3">
        <w:rPr>
          <w:rFonts w:ascii="Arial" w:eastAsia="Times New Roman" w:hAnsi="Arial" w:cs="Arial"/>
          <w:color w:val="3C3C3C"/>
          <w:sz w:val="21"/>
          <w:szCs w:val="21"/>
        </w:rPr>
        <w:t> Al patrulea paragraf al aceluiași articol face totuși o excepție de la această interdicție </w:t>
      </w:r>
      <w:r w:rsidRPr="00EC76C3">
        <w:rPr>
          <w:rFonts w:ascii="Arial" w:eastAsia="Times New Roman" w:hAnsi="Arial" w:cs="Arial"/>
          <w:i/>
          <w:iCs/>
          <w:color w:val="3C3C3C"/>
          <w:sz w:val="21"/>
          <w:szCs w:val="21"/>
        </w:rPr>
        <w:t>dacă informațiile destinatarului au fost colectate de la acesta în conformitate cu prevederile Legii </w:t>
      </w:r>
      <w:r w:rsidRPr="00EC76C3">
        <w:rPr>
          <w:rFonts w:ascii="Arial" w:eastAsia="Times New Roman" w:hAnsi="Arial" w:cs="Arial"/>
          <w:i/>
          <w:iCs/>
          <w:color w:val="3C3C3C"/>
          <w:sz w:val="16"/>
          <w:szCs w:val="16"/>
          <w:vertAlign w:val="superscript"/>
        </w:rPr>
        <w:t>nr.</w:t>
      </w:r>
      <w:r w:rsidRPr="00EC76C3">
        <w:rPr>
          <w:rFonts w:ascii="Arial" w:eastAsia="Times New Roman" w:hAnsi="Arial" w:cs="Arial"/>
          <w:i/>
          <w:iCs/>
          <w:color w:val="3C3C3C"/>
          <w:sz w:val="21"/>
          <w:szCs w:val="21"/>
        </w:rPr>
        <w:t> 78-17 din 6 ianuarie 1978 referitoare la date , dosare și libertăți, cu ocazia vânzării sau prestării de servicii, în cazul în care prospectarea directă se referă la produse sau servicii similare furnizate de aceeași persoană fizică sau juridică și dacă destinatarul este oferit, în mod expres și fără echivoc, posibilitatea de a se opune, gratuit, cu excepția celor legate de transmiterea refuzului, și într-un mod simplu, la utilizarea datelor sale de contact atunci când sunt colectate și ori de câte ori „i se trimite un e-mail de prospectare în cazul în care acesta nu a refuzat imediat o astfel de exploatare</w:t>
      </w:r>
      <w:r w:rsidRPr="00EC76C3">
        <w:rPr>
          <w:rFonts w:ascii="Arial" w:eastAsia="Times New Roman" w:hAnsi="Arial" w:cs="Arial"/>
          <w:color w:val="3C3C3C"/>
          <w:sz w:val="21"/>
          <w:szCs w:val="21"/>
        </w:rPr>
        <w:t> .</w:t>
      </w:r>
    </w:p>
    <w:p w14:paraId="5368CABB"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lastRenderedPageBreak/>
        <w:t>148. Referința </w:t>
      </w:r>
      <w:r w:rsidRPr="00EC76C3">
        <w:rPr>
          <w:rFonts w:ascii="Arial" w:eastAsia="Times New Roman" w:hAnsi="Arial" w:cs="Arial"/>
          <w:color w:val="3C3C3C"/>
          <w:sz w:val="16"/>
          <w:szCs w:val="16"/>
          <w:vertAlign w:val="superscript"/>
        </w:rPr>
        <w:t>nr.</w:t>
      </w:r>
      <w:r w:rsidRPr="00EC76C3">
        <w:rPr>
          <w:rFonts w:ascii="Arial" w:eastAsia="Times New Roman" w:hAnsi="Arial" w:cs="Arial"/>
          <w:color w:val="3C3C3C"/>
          <w:sz w:val="21"/>
          <w:szCs w:val="21"/>
        </w:rPr>
        <w:t> 19000325 din 4 ianuarie 2019, domnul [...] a preluat CNIL, explicând că primirea de prospecții comerciale fără acel e-mail îi permite să se opună. Într-adevăr, linkul de dezabonare de pe lista de corespondență îl referea, pentru a putea obiecta, la o pagină de autentificare pentru un cont de client. Cu toate acestea, reclamantul nu a avut un astfel de cont și, prin urmare, nu s-a putut opune prospecțiunii comerciale.</w:t>
      </w:r>
    </w:p>
    <w:p w14:paraId="76364B49"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149. Raportorul consideră că societatea nu și-a îndeplinit obligațiile care îi revin în temeiul articolului L.34-5 din Codul poștal și al comunicațiilor electronice, deoarece nu a oferit în mod sistematic destinatarilor e-mailurilor sale de prospecțiune mod simplu și eficient de a vă dezabona de la e-mailurile în cauză.</w:t>
      </w:r>
    </w:p>
    <w:p w14:paraId="1BF32A2E"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150. Compania recunoaște această eroare, dar consideră că o încălcare nu poate fi caracterizată pe baza acestui eveniment unic.</w:t>
      </w:r>
    </w:p>
    <w:p w14:paraId="5AA5E786"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151. Din explicațiile furnizate de companie în timpul auditului efectuat la 11 iulie 2019, reiese că o astfel de eroare a avut loc într-un e-mail de prospecțiune trimis mai mult de 350.000 de persoane. Compania indică faptul că linkul de dezabonare integrat în e-mailul de prospectare se referea la spațiul personal al site-ului carrefour.fr, permițând persoanelor cu un cont de client să se dezaboneze. Din greșeală, persoanele care nu aveau un cont de client au fost vizate de această campanie de prospecțiune. Când acești oameni au dat clic pe linkul de dezabonare, li s-a cerut, pentru a se dezabona, să se conecteze la un cont de client pe care nu îl aveau.</w:t>
      </w:r>
    </w:p>
    <w:p w14:paraId="29AFDE17"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152. Compania explică faptul că a constatat imediat eroarea, deoarece a primit un număr mare de reclamații de la clienți care nu și-au putut exercita corect drepturile. Prin urmare, afirmă că această eroare a avut loc o singură dată, deoarece nu a primit alte plângeri similare.</w:t>
      </w:r>
    </w:p>
    <w:p w14:paraId="5AE7ED19"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153. Comitetul restricționat consideră că persoanele care nu au un cont de client nu ar putea să se opună pur și simplu utilizării datelor lor personale în scopuri de prospecțiune comercială. În consecință, se constată încălcarea articolului L.34-5 din Codul de comunicații poștale și electronice atunci când nu au fost oferite acestor persoane nicio modalitate de a se opune prospecțiunii prin mijloace electronice.</w:t>
      </w:r>
    </w:p>
    <w:p w14:paraId="0E7FC2A2"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154. Cu toate acestea, comitetul restricționat constată că compania a creat un link unic de dezabonare care nu necesită trecerea prin contul clientului pentru dezabonare. Prin urmare, ea crede că compania a implementat măsurile necesare pentru a se asigura că drepturile oamenilor sunt respectate în viitor.</w:t>
      </w:r>
    </w:p>
    <w:p w14:paraId="565A7F91"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H. Cu privire la încălcarea legată de securitatea datelor cu caracter personal</w:t>
      </w:r>
    </w:p>
    <w:p w14:paraId="68DCB8C9"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155. Articolul 32 din GDPR prevede că </w:t>
      </w:r>
      <w:r w:rsidRPr="00EC76C3">
        <w:rPr>
          <w:rFonts w:ascii="Arial" w:eastAsia="Times New Roman" w:hAnsi="Arial" w:cs="Arial"/>
          <w:i/>
          <w:iCs/>
          <w:color w:val="3C3C3C"/>
          <w:sz w:val="21"/>
          <w:szCs w:val="21"/>
        </w:rPr>
        <w:t>operatorul și procesatorul pun în aplicare măsurile tehnice și organizatorice adecvate pentru a garanta un nivel de securitate adaptat la risc</w:t>
      </w:r>
      <w:r w:rsidRPr="00EC76C3">
        <w:rPr>
          <w:rFonts w:ascii="Arial" w:eastAsia="Times New Roman" w:hAnsi="Arial" w:cs="Arial"/>
          <w:color w:val="3C3C3C"/>
          <w:sz w:val="21"/>
          <w:szCs w:val="21"/>
        </w:rPr>
        <w:t> .</w:t>
      </w:r>
    </w:p>
    <w:p w14:paraId="76A9F26C"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156. Raportorul critică compania pentru că nu a adoptat măsurile necesare pentru a proteja datele cu caracter personal pe care le prelucrează după ce a aflat de existența unei vulnerabilități pe site-ul său web.</w:t>
      </w:r>
    </w:p>
    <w:p w14:paraId="70C61FA7"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157. Din declarațiile companiei făcute în timpul controlului din 11 iulie 2019, reiese că, în timpul unei achiziții pe site-ul carrefour.fr, o factură este pusă la dispoziția clientului în spațiul său personal după livrarea comenzii sau retragere în magazin. Această factură este accesibilă printr-o adresă URL fixă. Oricine are această adresă poate accesa factura emisă fără a fi nevoie să se autentifice și să se conecteze la zona clientului său.</w:t>
      </w:r>
    </w:p>
    <w:p w14:paraId="7BB944C6"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lastRenderedPageBreak/>
        <w:t>158. Compania a identificat această vulnerabilitate tehnică la 16 noiembrie 2018, înregistrată în registrul incidentelor de securitate sub numărul 415342. Pentru a atenua această vulnerabilitate, compania a decis să dezvolte două măsuri: adăugarea unui lanț de caractere aleatorii și un mecanism de autentificare prealabil obligatoriu. Prima măsură a fost, prin creșterea numărului de adrese URL potențiale, reducerea riscului unei deduceri incrementale a adresei care să permită accesul la facturi. A doua măsură a împiedicat complet accesul la facturi de către oricine altul decât persoana în cauză.</w:t>
      </w:r>
    </w:p>
    <w:p w14:paraId="0D904A8E"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159. Prima măsură a fost pusă în aplicare foarte rapid de către companie. În ziua verificării efectuate, la aproape opt luni de la descoperirea vulnerabilității, a doua măsură nu fusese încă implementată, iar accesul la o factură era încă posibil de către oricine avea adresa URL.</w:t>
      </w:r>
    </w:p>
    <w:p w14:paraId="7388EF57"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160. În acest sens, compania indică faptul că a implementat deja, în ziua inspecției, o primă măsură suficientă care reduce considerabil riscul accesului la documente și că cea de-a doua măsură era în desfășurare.</w:t>
      </w:r>
    </w:p>
    <w:p w14:paraId="6752E0ED"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161. Comitetul restricționat consideră că adăugarea unui șir de caractere aleatorii nu este suficientă, în sine, pentru a împiedica accesul nejustificat la datele cu caracter personal ale terților. Această măsură reduce riscul, dar nu îl elimină, accesul rămânând posibil. Amintește că Agenția Națională pentru Securitatea Sistemelor de Informații (ANSSI) alertează din 2013 despre această vulnerabilitate legată de adresele URL, chiar și </w:t>
      </w:r>
      <w:r w:rsidRPr="00EC76C3">
        <w:rPr>
          <w:rFonts w:ascii="Arial" w:eastAsia="Times New Roman" w:hAnsi="Arial" w:cs="Arial"/>
          <w:i/>
          <w:iCs/>
          <w:color w:val="3C3C3C"/>
          <w:sz w:val="21"/>
          <w:szCs w:val="21"/>
        </w:rPr>
        <w:t>în cazul adreselor URL alcătuite din câteva zeci de caractere perfect aleatorii</w:t>
      </w:r>
      <w:r w:rsidRPr="00EC76C3">
        <w:rPr>
          <w:rFonts w:ascii="Arial" w:eastAsia="Times New Roman" w:hAnsi="Arial" w:cs="Arial"/>
          <w:color w:val="3C3C3C"/>
          <w:sz w:val="21"/>
          <w:szCs w:val="21"/>
        </w:rPr>
        <w:t> (Recomandări pentru securitatea site-uri web, 13 august 2013, p. 16). Partea restricționată subliniază că compania a identificat măsura adecvată care urma să fie pusă în aplicare în noiembrie 2018, deoarece a planificat, începând cu acea dată, desfășurarea autentificării prealabile obligatorii.</w:t>
      </w:r>
    </w:p>
    <w:p w14:paraId="718BDBE8"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162. În consecință, comitetul restricționat consideră că lipsa implementării autentificării prealabile obligatorii în urma descoperirii vulnerabilității - chiar dacă această măsură a fost identificată și că este singura măsură care permite „preveni complet riscul - este o încălcare a secțiunii 32 din reguli.</w:t>
      </w:r>
    </w:p>
    <w:p w14:paraId="1D803E22"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163. Cu toate acestea, comitetul restricționat constată că compania a implementat autentificarea obligatorie la 17 iulie 2019.</w:t>
      </w:r>
    </w:p>
    <w:p w14:paraId="5BDC52BA"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I. Cu privire la nerespectarea încălcărilor datelor cu caracter personal</w:t>
      </w:r>
    </w:p>
    <w:p w14:paraId="2E5E8223"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164. Articolul 33 din regulament prevede că, </w:t>
      </w:r>
      <w:r w:rsidRPr="00EC76C3">
        <w:rPr>
          <w:rFonts w:ascii="Arial" w:eastAsia="Times New Roman" w:hAnsi="Arial" w:cs="Arial"/>
          <w:i/>
          <w:iCs/>
          <w:color w:val="3C3C3C"/>
          <w:sz w:val="21"/>
          <w:szCs w:val="21"/>
        </w:rPr>
        <w:t>în cazul unei încălcări a datelor cu caracter personal, operatorul notifică încălcarea respectivă autorității de supraveghere competente în conformitate cu articolul 55, cât mai curând posibil și , dacă este posibil, cel mult 72 de ore după ce ați luat la cunoștință, cu excepția cazului în care încălcarea în cauză nu este susceptibilă să creeze un risc pentru drepturile și libertățile persoanelor</w:t>
      </w:r>
      <w:r w:rsidRPr="00EC76C3">
        <w:rPr>
          <w:rFonts w:ascii="Arial" w:eastAsia="Times New Roman" w:hAnsi="Arial" w:cs="Arial"/>
          <w:color w:val="3C3C3C"/>
          <w:sz w:val="21"/>
          <w:szCs w:val="21"/>
        </w:rPr>
        <w:t> .</w:t>
      </w:r>
    </w:p>
    <w:p w14:paraId="7AB34703"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165. Raportorul consideră că societatea nu și-a îndeplinit obligația de a notifica încălcările datelor cu caracter personal, această obligație rezultând din circumstanțele încălcării și din datele respective.</w:t>
      </w:r>
    </w:p>
    <w:p w14:paraId="4AB8372C"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166. Din constatările făcute la verificarea din 11 iulie 2019, compania a identificat și documentat un atac cibernetic pe care fusese victimă </w:t>
      </w:r>
      <w:r w:rsidRPr="00EC76C3">
        <w:rPr>
          <w:rFonts w:ascii="Arial" w:eastAsia="Times New Roman" w:hAnsi="Arial" w:cs="Arial"/>
          <w:color w:val="3C3C3C"/>
          <w:sz w:val="16"/>
          <w:szCs w:val="16"/>
          <w:vertAlign w:val="superscript"/>
        </w:rPr>
        <w:t>1</w:t>
      </w:r>
      <w:r w:rsidRPr="00EC76C3">
        <w:rPr>
          <w:rFonts w:ascii="Arial" w:eastAsia="Times New Roman" w:hAnsi="Arial" w:cs="Arial"/>
          <w:color w:val="3C3C3C"/>
          <w:sz w:val="21"/>
          <w:szCs w:val="21"/>
        </w:rPr>
        <w:t> iulie 2019. Acest atac, utilizând serviciul de autentificare mobilă grup, a luat forma a 800.000 de încercări de conectare de la 10.000 de adrese IP. A dus la 4.000 de autentificări reușite și 275 de accesuri eficiente la conturile clienților. Această încălcare nu a fost notificată CNIL.</w:t>
      </w:r>
    </w:p>
    <w:p w14:paraId="18298135"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 xml:space="preserve">167. În apărare, compania a indicat că este puțin probabil ca încălcarea să prezinte un risc pentru drepturile și libertățile persoanelor. De asemenea, precizează că persoanele în cauză nu au suferit nicio pierdere financiară, deoarece nu a fost dedus niciun punct de loialitate. Acesta subliniază că, în </w:t>
      </w:r>
      <w:r w:rsidRPr="00EC76C3">
        <w:rPr>
          <w:rFonts w:ascii="Arial" w:eastAsia="Times New Roman" w:hAnsi="Arial" w:cs="Arial"/>
          <w:color w:val="3C3C3C"/>
          <w:sz w:val="21"/>
          <w:szCs w:val="21"/>
        </w:rPr>
        <w:lastRenderedPageBreak/>
        <w:t>orice caz, condițiile generale de utilizare a cardului Carrefour prevăd rambursarea fondurilor persoanelor în cauză în caz de atac de către terți.</w:t>
      </w:r>
    </w:p>
    <w:p w14:paraId="0B4E8927"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168. Comitetul restricționat reamintește că, în cazul unei încălcări a datelor cu caracter personal, principiul este acela al notificării către autoritatea de supraveghere. Absența notificării este posibilă numai prin excepție, atunci când încălcarea nu creează un risc pentru drepturile și libertățile persoanelor. În cazul de față, grupul restricționat consideră că analiza riscurilor asociate acestei încălcări nu duce la aplicarea acestei excepții la obligația de notificare. Într-adevăr, gravitatea încălcării provine din originea evident rău intenționată a acestui atac, numărul mare de persoane în cauză și combinația mai multor date cu caracter personal la care atacul a permis accesul și care permit atacul. identificarea și contactul direct al persoanelor în cauză (conturile clienților pot include în special identitatea persoanelor, numărul lor de telefon, adresa de e-mail și adresa fizică a acestora).</w:t>
      </w:r>
    </w:p>
    <w:p w14:paraId="5EF047CD"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169. Comitetul restricționat constată că cele 4.000 de conturi pentru care nu a fost observat un acces efectiv, dar care au făcut obiectul autentificării cu succes, trebuie considerate ca participând la evaluarea riscurilor. Într-adevăr, instruirea restricționată amintește că mulți oameni folosesc o combinație identică de adresă de e-mail și parolă pe un număr foarte mare de site-uri web. Prin urmare, exista un risc serios ca atacatorii care au identificat o pereche validă de adresă de e-mail / parolă să încerce să o reutilizeze pe alte site-uri web (o tehnică numită completare de </w:t>
      </w:r>
      <w:r w:rsidRPr="00EC76C3">
        <w:rPr>
          <w:rFonts w:ascii="Arial" w:eastAsia="Times New Roman" w:hAnsi="Arial" w:cs="Arial"/>
          <w:i/>
          <w:iCs/>
          <w:color w:val="3C3C3C"/>
          <w:sz w:val="21"/>
          <w:szCs w:val="21"/>
        </w:rPr>
        <w:t>acreditări</w:t>
      </w:r>
      <w:r w:rsidRPr="00EC76C3">
        <w:rPr>
          <w:rFonts w:ascii="Arial" w:eastAsia="Times New Roman" w:hAnsi="Arial" w:cs="Arial"/>
          <w:color w:val="3C3C3C"/>
          <w:sz w:val="21"/>
          <w:szCs w:val="21"/>
        </w:rPr>
        <w:t> ). De asemenea, exista riscul ca, având acum mai multe informații despre persoanele în cauză și relațiile lor cu companiile grupului Carrefour, atacatorii să încerce să uzurpe identitatea uneia dintre aceste companii în e-mailuri rău intenționate și înșelătoare (phishing). Prin urmare, aceste conturi trebuie considerate ca fiind afectate de încălcare.</w:t>
      </w:r>
    </w:p>
    <w:p w14:paraId="42FF6AE0"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170. În consecință, comitetul restricționat consideră că a fost încălcată articolul 33 din GDPR.</w:t>
      </w:r>
    </w:p>
    <w:p w14:paraId="5BB3E053"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171. Cu toate acestea, subliniază faptul că, în ciuda unei diferențe de apreciere față de raportor și în vederea conformării, compania a notificat încălcarea către CNIL la 19 iulie 2020 și a fost astfel conformă în ziua reuniunii.</w:t>
      </w:r>
    </w:p>
    <w:p w14:paraId="1EB1BEE6"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J. Cu privire la încălcarea legată de cookie-uri</w:t>
      </w:r>
    </w:p>
    <w:p w14:paraId="23F542DE"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172. Articolul 82 din Legea privind protecția datelor (articolul 32.II într-o formulare identică cu data constatărilor) impune informarea utilizatorilor și consimțământul lor înainte de orice acces sau înregistrare la informațiile deja stocate în echipamentul său. Prin urmare, orice depunere de cookie-uri sau alte elemente de urmărire trebuie să fie precedată de informațiile și consimțământul persoanelor. Această cerință nu se aplică cookie-urilor al căror </w:t>
      </w:r>
      <w:r w:rsidRPr="00EC76C3">
        <w:rPr>
          <w:rFonts w:ascii="Arial" w:eastAsia="Times New Roman" w:hAnsi="Arial" w:cs="Arial"/>
          <w:i/>
          <w:iCs/>
          <w:color w:val="3C3C3C"/>
          <w:sz w:val="21"/>
          <w:szCs w:val="21"/>
        </w:rPr>
        <w:t>unic scop este să permită sau să faciliteze comunicarea prin mijloace electronice</w:t>
      </w:r>
      <w:r w:rsidRPr="00EC76C3">
        <w:rPr>
          <w:rFonts w:ascii="Arial" w:eastAsia="Times New Roman" w:hAnsi="Arial" w:cs="Arial"/>
          <w:color w:val="3C3C3C"/>
          <w:sz w:val="21"/>
          <w:szCs w:val="21"/>
        </w:rPr>
        <w:t> sau care sunt </w:t>
      </w:r>
      <w:r w:rsidRPr="00EC76C3">
        <w:rPr>
          <w:rFonts w:ascii="Arial" w:eastAsia="Times New Roman" w:hAnsi="Arial" w:cs="Arial"/>
          <w:i/>
          <w:iCs/>
          <w:color w:val="3C3C3C"/>
          <w:sz w:val="21"/>
          <w:szCs w:val="21"/>
        </w:rPr>
        <w:t>strict necesare pentru furnizarea unui serviciu de comunicare online la cererea expresă a utilizatorului</w:t>
      </w:r>
      <w:r w:rsidRPr="00EC76C3">
        <w:rPr>
          <w:rFonts w:ascii="Arial" w:eastAsia="Times New Roman" w:hAnsi="Arial" w:cs="Arial"/>
          <w:color w:val="3C3C3C"/>
          <w:sz w:val="21"/>
          <w:szCs w:val="21"/>
        </w:rPr>
        <w:t> .</w:t>
      </w:r>
    </w:p>
    <w:p w14:paraId="1312F2CD"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173. Raportorul consideră că compania nu a respectat aceste prevederi, deoarece din verificarea online din 24 mai 2019 reiese că, ajungând pe site-ul web carrefour.fr, mai multe cookie-uri care nu se încadrează în cele două cazuri menționate mai sus. înainte au fost plasate pe terminalul utilizatorului la conectarea la pagina de pornire a site-ului și înainte de orice acțiune din partea acestuia.</w:t>
      </w:r>
    </w:p>
    <w:p w14:paraId="58F96622"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174. Compania nu contestă aceste elemente.</w:t>
      </w:r>
    </w:p>
    <w:p w14:paraId="72D00103"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175. Comitetul restricționat constată că, în acest caz, depunerea a treizeci și nouă de cookie-uri a fost automată la sosirea pe pagina de pornire a site-ului și înainte de orice acțiune a utilizatorului. Dintre aceste treizeci și nouă de cookie-uri, trei au aparținut soluției Google Analytics (_gid, _ga și _gat_gtag_UA_3928615_46).</w:t>
      </w:r>
    </w:p>
    <w:p w14:paraId="30C3C80D"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lastRenderedPageBreak/>
        <w:t>176. În ceea ce privește aceste trei cookie-uri, cunoscute sub denumirea de </w:t>
      </w:r>
      <w:r w:rsidRPr="00EC76C3">
        <w:rPr>
          <w:rFonts w:ascii="Arial" w:eastAsia="Times New Roman" w:hAnsi="Arial" w:cs="Arial"/>
          <w:i/>
          <w:iCs/>
          <w:color w:val="3C3C3C"/>
          <w:sz w:val="21"/>
          <w:szCs w:val="21"/>
        </w:rPr>
        <w:t>Google Analytics,</w:t>
      </w:r>
      <w:r w:rsidRPr="00EC76C3">
        <w:rPr>
          <w:rFonts w:ascii="Arial" w:eastAsia="Times New Roman" w:hAnsi="Arial" w:cs="Arial"/>
          <w:color w:val="3C3C3C"/>
          <w:sz w:val="21"/>
          <w:szCs w:val="21"/>
        </w:rPr>
        <w:t> comitetul restricționat subliniază că nu există nicio dezbatere că datele colectate de aceste cookie-uri pot fi verificate încrucișat cu date din alte prelucrări pentru a urmări alte scopuri decât limitată de articolul 82 din Legea privind protecția datelor, în special pentru a efectua publicitate personalizată. Într-adevăr, reiese din ghidul practic Asociația conturilor Google Analytics și Google Ads, postat pe unul dintre site-urile companiei Google, că </w:t>
      </w:r>
      <w:r w:rsidRPr="00EC76C3">
        <w:rPr>
          <w:rFonts w:ascii="Arial" w:eastAsia="Times New Roman" w:hAnsi="Arial" w:cs="Arial"/>
          <w:i/>
          <w:iCs/>
          <w:color w:val="3C3C3C"/>
          <w:sz w:val="21"/>
          <w:szCs w:val="21"/>
        </w:rPr>
        <w:t>integrarea Google Analytics în Google Ads (...) permite [agenților de publicitate] să știe exact în cât de mult se transformă anunțurile [lor] în conversii, apoi ajustați rapid reclamele și sumele licitate în consecință.</w:t>
      </w:r>
      <w:r w:rsidRPr="00EC76C3">
        <w:rPr>
          <w:rFonts w:ascii="Arial" w:eastAsia="Times New Roman" w:hAnsi="Arial" w:cs="Arial"/>
          <w:color w:val="3C3C3C"/>
          <w:sz w:val="21"/>
          <w:szCs w:val="21"/>
        </w:rPr>
        <w:t> </w:t>
      </w:r>
      <w:r w:rsidRPr="00EC76C3">
        <w:rPr>
          <w:rFonts w:ascii="Arial" w:eastAsia="Times New Roman" w:hAnsi="Arial" w:cs="Arial"/>
          <w:i/>
          <w:iCs/>
          <w:color w:val="3C3C3C"/>
          <w:sz w:val="21"/>
          <w:szCs w:val="21"/>
        </w:rPr>
        <w:t>[Agenții de publicitate pot], de asemenea, să combine produsele pentru a identifica cele mai interesante segmente ale acestora și apoi să îi atragă pe acei utilizatori cu mesaje personalizate</w:t>
      </w:r>
      <w:r w:rsidRPr="00EC76C3">
        <w:rPr>
          <w:rFonts w:ascii="Arial" w:eastAsia="Times New Roman" w:hAnsi="Arial" w:cs="Arial"/>
          <w:color w:val="3C3C3C"/>
          <w:sz w:val="21"/>
          <w:szCs w:val="21"/>
        </w:rPr>
        <w:t> .</w:t>
      </w:r>
    </w:p>
    <w:p w14:paraId="61DE6D38"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177. În consecință, aceste cookie-uri nu au scopul exclusiv de a permite sau de a facilita comunicarea prin mijloace electronice și nu sunt strict necesare pentru furnizarea serviciului. Prin urmare, depunerea lor ar fi trebuit să solicite companiei să obțină consimțământul prealabil de la utilizatori.</w:t>
      </w:r>
    </w:p>
    <w:p w14:paraId="2D10D6A9"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178. Formarea limitată consideră, prin urmare, că se constituie o încălcare a articolului 82 din Legea </w:t>
      </w:r>
      <w:r w:rsidRPr="00EC76C3">
        <w:rPr>
          <w:rFonts w:ascii="Arial" w:eastAsia="Times New Roman" w:hAnsi="Arial" w:cs="Arial"/>
          <w:color w:val="3C3C3C"/>
          <w:sz w:val="16"/>
          <w:szCs w:val="16"/>
          <w:vertAlign w:val="superscript"/>
        </w:rPr>
        <w:t>nr.</w:t>
      </w:r>
      <w:r w:rsidRPr="00EC76C3">
        <w:rPr>
          <w:rFonts w:ascii="Arial" w:eastAsia="Times New Roman" w:hAnsi="Arial" w:cs="Arial"/>
          <w:color w:val="3C3C3C"/>
          <w:sz w:val="21"/>
          <w:szCs w:val="21"/>
        </w:rPr>
        <w:t> 78-17 din 6 ianuarie 1978. De asemenea, consideră că acest eșec a vizat un număr mare de persoane, și anume toți vizitatorii site-ului carrefour.fr.</w:t>
      </w:r>
    </w:p>
    <w:p w14:paraId="7A07D8A6"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179. Comitetul restricționat subliniază totuși că compania a făcut modificări semnificative pe site-ul său web în timpul procedurii de sancționare. Aceste modificări au condus, în special, la oprirea depunerii automate a cookie-urilor la sosirea pe pagina principală a site-ului începând cu 5 februarie 2020.</w:t>
      </w:r>
    </w:p>
    <w:p w14:paraId="1A0F4E8B"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III. Despre măsuri corective și publicitate</w:t>
      </w:r>
    </w:p>
    <w:p w14:paraId="5844F63F"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180. Conform termenilor articolului 20 al III-lea din legea din 6 ianuarie 1978:</w:t>
      </w:r>
    </w:p>
    <w:p w14:paraId="68A7C13A"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i/>
          <w:iCs/>
          <w:color w:val="3C3C3C"/>
          <w:sz w:val="21"/>
          <w:szCs w:val="21"/>
        </w:rPr>
        <w:t>Atunci când operatorul de date sau subcontractantul acestuia nu respectă obligațiile care decurg din Regulamentul (UE) 2016/679 din 27 aprilie 2016 sau din prezenta lege, președintele Comisiei Naționale pentru Informatică și Libertăți poate, de asemenea, dacă este necesar, după ce i-ați trimis avertismentul prevăzut la I din prezentul articol sau, dacă este necesar, în plus față de o notificare formală prevăzută la II, sechestrează comitetul restricționat în vederea pronunțării, după o procedură contradictorie, a una sau mai multe dintre următoarele măsuri: [...]</w:t>
      </w:r>
    </w:p>
    <w:p w14:paraId="06ACAEF5"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i/>
          <w:iCs/>
          <w:color w:val="3C3C3C"/>
          <w:sz w:val="21"/>
          <w:szCs w:val="21"/>
        </w:rPr>
        <w:t>7 ° Cu excepția cazurilor în care prelucrarea este pusă în aplicare de către stat, o amendă administrativă care nu depășește 10 milioane de euro sau, în cazul unei companii, 2% din cifra de afaceri anuală mondială total pentru anul fiscal anterior, oricare dintre acestea este mai mare.</w:t>
      </w:r>
      <w:r w:rsidRPr="00EC76C3">
        <w:rPr>
          <w:rFonts w:ascii="Arial" w:eastAsia="Times New Roman" w:hAnsi="Arial" w:cs="Arial"/>
          <w:color w:val="3C3C3C"/>
          <w:sz w:val="21"/>
          <w:szCs w:val="21"/>
        </w:rPr>
        <w:t> </w:t>
      </w:r>
      <w:r w:rsidRPr="00EC76C3">
        <w:rPr>
          <w:rFonts w:ascii="Arial" w:eastAsia="Times New Roman" w:hAnsi="Arial" w:cs="Arial"/>
          <w:i/>
          <w:iCs/>
          <w:color w:val="3C3C3C"/>
          <w:sz w:val="21"/>
          <w:szCs w:val="21"/>
        </w:rPr>
        <w:t>Conform ipotezelor menționate la articolele 5 și 6 ale articolului 83 din regulamentul (UE) 2016/679 din 27 aprilie 2016, aceste plafoane sunt ridicate, respectiv, la 20 de milioane de euro și 4% din cifra de afaceri menționată.</w:t>
      </w:r>
      <w:r w:rsidRPr="00EC76C3">
        <w:rPr>
          <w:rFonts w:ascii="Arial" w:eastAsia="Times New Roman" w:hAnsi="Arial" w:cs="Arial"/>
          <w:color w:val="3C3C3C"/>
          <w:sz w:val="21"/>
          <w:szCs w:val="21"/>
        </w:rPr>
        <w:t> </w:t>
      </w:r>
      <w:r w:rsidRPr="00EC76C3">
        <w:rPr>
          <w:rFonts w:ascii="Arial" w:eastAsia="Times New Roman" w:hAnsi="Arial" w:cs="Arial"/>
          <w:i/>
          <w:iCs/>
          <w:color w:val="3C3C3C"/>
          <w:sz w:val="21"/>
          <w:szCs w:val="21"/>
        </w:rPr>
        <w:t>Comitetul restricționat ia în considerare, la stabilirea cuantumului amenzii, criteriile specificate în același articol 83.</w:t>
      </w:r>
    </w:p>
    <w:p w14:paraId="29C09B29"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181. Articolul 83 din GDPR prevede:</w:t>
      </w:r>
    </w:p>
    <w:p w14:paraId="5D0D4989"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i/>
          <w:iCs/>
          <w:color w:val="3C3C3C"/>
          <w:sz w:val="21"/>
          <w:szCs w:val="21"/>
        </w:rPr>
        <w:t>(1) Fiecare autoritate de supraveghere se asigură că amenzile administrative impuse în temeiul prezentului articol pentru încălcările prezentului regulament menționate la alineatele (4), (5) și (6) sunt, în fiecare caz, eficiente, proporționale și descurajante.</w:t>
      </w:r>
    </w:p>
    <w:p w14:paraId="61CAFE36"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i/>
          <w:iCs/>
          <w:color w:val="3C3C3C"/>
          <w:sz w:val="21"/>
          <w:szCs w:val="21"/>
        </w:rPr>
        <w:t>2. În funcție de caracteristicile specifice fiecărui caz, se aplică amenzi administrative în plus față de sau în locul măsurilor menționate la articolul 58 alineatul (2) literele (a) - (h) și (j).</w:t>
      </w:r>
      <w:r w:rsidRPr="00EC76C3">
        <w:rPr>
          <w:rFonts w:ascii="Arial" w:eastAsia="Times New Roman" w:hAnsi="Arial" w:cs="Arial"/>
          <w:color w:val="3C3C3C"/>
          <w:sz w:val="21"/>
          <w:szCs w:val="21"/>
        </w:rPr>
        <w:t> </w:t>
      </w:r>
      <w:r w:rsidRPr="00EC76C3">
        <w:rPr>
          <w:rFonts w:ascii="Arial" w:eastAsia="Times New Roman" w:hAnsi="Arial" w:cs="Arial"/>
          <w:i/>
          <w:iCs/>
          <w:color w:val="3C3C3C"/>
          <w:sz w:val="21"/>
          <w:szCs w:val="21"/>
        </w:rPr>
        <w:t xml:space="preserve">Pentru a decide </w:t>
      </w:r>
      <w:r w:rsidRPr="00EC76C3">
        <w:rPr>
          <w:rFonts w:ascii="Arial" w:eastAsia="Times New Roman" w:hAnsi="Arial" w:cs="Arial"/>
          <w:i/>
          <w:iCs/>
          <w:color w:val="3C3C3C"/>
          <w:sz w:val="21"/>
          <w:szCs w:val="21"/>
        </w:rPr>
        <w:lastRenderedPageBreak/>
        <w:t>dacă se impune o amendă administrativă și pentru a decide cuantumul amenzii administrative, se va ține seama în mod corespunzător în fiecare caz individual de următoarele:</w:t>
      </w:r>
    </w:p>
    <w:p w14:paraId="4387379B"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i/>
          <w:iCs/>
          <w:color w:val="3C3C3C"/>
          <w:sz w:val="21"/>
          <w:szCs w:val="21"/>
        </w:rPr>
        <w:t>a) natura, gravitatea și durata încălcării, ținând seama de natura, domeniul de aplicare sau scopul prelucrării în cauză, precum și numărul de persoane vizate afectate și nivelul daunelor pe care le-au suferit;</w:t>
      </w:r>
    </w:p>
    <w:p w14:paraId="356D14EB"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i/>
          <w:iCs/>
          <w:color w:val="3C3C3C"/>
          <w:sz w:val="21"/>
          <w:szCs w:val="21"/>
        </w:rPr>
        <w:t>b) dacă încălcarea a fost săvârșită intenționat sau neglijent;</w:t>
      </w:r>
    </w:p>
    <w:p w14:paraId="34C84C85"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i/>
          <w:iCs/>
          <w:color w:val="3C3C3C"/>
          <w:sz w:val="21"/>
          <w:szCs w:val="21"/>
        </w:rPr>
        <w:t>c) orice măsură luată de operator sau procesator pentru a atenua daunele suferite de persoanele vizate;</w:t>
      </w:r>
    </w:p>
    <w:p w14:paraId="032C594B"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i/>
          <w:iCs/>
          <w:color w:val="3C3C3C"/>
          <w:sz w:val="21"/>
          <w:szCs w:val="21"/>
        </w:rPr>
        <w:t>d) gradul de responsabilitate al operatorului sau al procesatorului, luând în considerare măsurile tehnice și organizatorice pe care le-au pus în aplicare în conformitate cu articolele 25 și 32;</w:t>
      </w:r>
    </w:p>
    <w:p w14:paraId="576A56F4"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i/>
          <w:iCs/>
          <w:color w:val="3C3C3C"/>
          <w:sz w:val="21"/>
          <w:szCs w:val="21"/>
        </w:rPr>
        <w:t>e) orice încălcare relevantă comisă anterior de operator sau procesator;</w:t>
      </w:r>
    </w:p>
    <w:p w14:paraId="2596BE23"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i/>
          <w:iCs/>
          <w:color w:val="3C3C3C"/>
          <w:sz w:val="21"/>
          <w:szCs w:val="21"/>
        </w:rPr>
        <w:t>(f) gradul de cooperare stabilit cu autoritatea de supraveghere în vederea remedierii încălcării și atenuării oricăror efecte negative ale acesteia;</w:t>
      </w:r>
    </w:p>
    <w:p w14:paraId="230919FC"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i/>
          <w:iCs/>
          <w:color w:val="3C3C3C"/>
          <w:sz w:val="21"/>
          <w:szCs w:val="21"/>
        </w:rPr>
        <w:t>g) categoriile de date cu caracter personal afectate de încălcare;</w:t>
      </w:r>
    </w:p>
    <w:p w14:paraId="2F36A726"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i/>
          <w:iCs/>
          <w:color w:val="3C3C3C"/>
          <w:sz w:val="21"/>
          <w:szCs w:val="21"/>
        </w:rPr>
        <w:t>(h) modul în care autoritatea de supraveghere a luat cunoștință de încălcare, inclusiv dacă și în ce măsură operatorul sau procesatorul a notificat încălcarea;</w:t>
      </w:r>
    </w:p>
    <w:p w14:paraId="5EB72509"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i/>
          <w:iCs/>
          <w:color w:val="3C3C3C"/>
          <w:sz w:val="21"/>
          <w:szCs w:val="21"/>
        </w:rPr>
        <w:t>(i) în cazul în care măsurile menționate la articolul 58 alineatul (2) au fost anterior dispuse împotriva operatorului sau procesatorului în cauză în același scop, respectarea acestor măsuri;</w:t>
      </w:r>
    </w:p>
    <w:p w14:paraId="3314A802"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i/>
          <w:iCs/>
          <w:color w:val="3C3C3C"/>
          <w:sz w:val="21"/>
          <w:szCs w:val="21"/>
        </w:rPr>
        <w:t>(j) aplicarea codurilor de conduită aprobate în temeiul articolului 40 sau a mecanismelor de certificare aprobate în temeiul articolului 42;</w:t>
      </w:r>
      <w:r w:rsidRPr="00EC76C3">
        <w:rPr>
          <w:rFonts w:ascii="Arial" w:eastAsia="Times New Roman" w:hAnsi="Arial" w:cs="Arial"/>
          <w:color w:val="3C3C3C"/>
          <w:sz w:val="21"/>
          <w:szCs w:val="21"/>
        </w:rPr>
        <w:t> </w:t>
      </w:r>
      <w:r w:rsidRPr="00EC76C3">
        <w:rPr>
          <w:rFonts w:ascii="Arial" w:eastAsia="Times New Roman" w:hAnsi="Arial" w:cs="Arial"/>
          <w:i/>
          <w:iCs/>
          <w:color w:val="3C3C3C"/>
          <w:sz w:val="21"/>
          <w:szCs w:val="21"/>
        </w:rPr>
        <w:t>și</w:t>
      </w:r>
    </w:p>
    <w:p w14:paraId="3A7E111F"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i/>
          <w:iCs/>
          <w:color w:val="3C3C3C"/>
          <w:sz w:val="21"/>
          <w:szCs w:val="21"/>
        </w:rPr>
        <w:t>k) orice altă circumstanță agravantă sau atenuantă aplicabilă circumstanțelor cazului, precum avantajele financiare obținute sau pierderile evitate, direct sau indirect, ca urmare a încălcării.</w:t>
      </w:r>
    </w:p>
    <w:p w14:paraId="1163952D"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182. </w:t>
      </w:r>
      <w:r w:rsidRPr="00EC76C3">
        <w:rPr>
          <w:rFonts w:ascii="Arial" w:eastAsia="Times New Roman" w:hAnsi="Arial" w:cs="Arial"/>
          <w:b/>
          <w:bCs/>
          <w:color w:val="3C3C3C"/>
          <w:sz w:val="21"/>
          <w:szCs w:val="21"/>
          <w:u w:val="single"/>
        </w:rPr>
        <w:t>În ceea ce privește ordonanțele și conformitatea</w:t>
      </w:r>
      <w:r w:rsidRPr="00EC76C3">
        <w:rPr>
          <w:rFonts w:ascii="Arial" w:eastAsia="Times New Roman" w:hAnsi="Arial" w:cs="Arial"/>
          <w:color w:val="3C3C3C"/>
          <w:sz w:val="21"/>
          <w:szCs w:val="21"/>
        </w:rPr>
        <w:t> , grupul restricționat subliniază că societatea a corectat toate neajunsurile identificate în raportul de sancțiuni în timpul procedurii. Întrucât conformitatea sa a fost demonstrată până în prezent, comisia restricționată consideră că nu este justificată nicio ordonanță.</w:t>
      </w:r>
    </w:p>
    <w:p w14:paraId="345E9AB1"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183. </w:t>
      </w:r>
      <w:r w:rsidRPr="00EC76C3">
        <w:rPr>
          <w:rFonts w:ascii="Arial" w:eastAsia="Times New Roman" w:hAnsi="Arial" w:cs="Arial"/>
          <w:b/>
          <w:bCs/>
          <w:color w:val="3C3C3C"/>
          <w:sz w:val="21"/>
          <w:szCs w:val="21"/>
          <w:u w:val="single"/>
        </w:rPr>
        <w:t>Cu privire la pronunțarea unei amenzi și cuantumul acesteia</w:t>
      </w:r>
      <w:r w:rsidRPr="00EC76C3">
        <w:rPr>
          <w:rFonts w:ascii="Arial" w:eastAsia="Times New Roman" w:hAnsi="Arial" w:cs="Arial"/>
          <w:color w:val="3C3C3C"/>
          <w:sz w:val="21"/>
          <w:szCs w:val="21"/>
        </w:rPr>
        <w:t> , comisia restrânsă consideră că, în speță, eșecurile menționate anterior justifică pronunțarea unei amenzi administrative împotriva societății.</w:t>
      </w:r>
    </w:p>
    <w:p w14:paraId="2C614CBF"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184. În ceea ce privește amenda propusă de raportor, societatea susține în primul rând că valoarea amenzii propuse este excesivă, întrucât, potrivit acestuia, nu au fost stabilite mai multe încălcări. În această privință, grupul restricționat consideră că toate deficiențele identificate de raportor sunt caracterizate în acest caz, așa cum a fost detaliat anterior în motivele deciziei.</w:t>
      </w:r>
    </w:p>
    <w:p w14:paraId="2BCA0A10"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185. Compania susține apoi că factorii atenuanți stabiliți la articolul 83 din regulament trebuie să ducă la o reducere a sumei propuse de raportor și că trebuie luată în considerare activitatea importantă de conformitate efectuată.</w:t>
      </w:r>
    </w:p>
    <w:p w14:paraId="00F0D704"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186. Panoul restricționat analizează criteriile stabilite de articolul 83 după cum urmează.</w:t>
      </w:r>
    </w:p>
    <w:p w14:paraId="327567B5"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lastRenderedPageBreak/>
        <w:t>187. În </w:t>
      </w:r>
      <w:r w:rsidRPr="00EC76C3">
        <w:rPr>
          <w:rFonts w:ascii="Arial" w:eastAsia="Times New Roman" w:hAnsi="Arial" w:cs="Arial"/>
          <w:color w:val="3C3C3C"/>
          <w:sz w:val="21"/>
          <w:szCs w:val="21"/>
          <w:u w:val="single"/>
        </w:rPr>
        <w:t>ceea ce privește natura, gravitatea și durata încălcării</w:t>
      </w:r>
      <w:r w:rsidRPr="00EC76C3">
        <w:rPr>
          <w:rFonts w:ascii="Arial" w:eastAsia="Times New Roman" w:hAnsi="Arial" w:cs="Arial"/>
          <w:color w:val="3C3C3C"/>
          <w:sz w:val="21"/>
          <w:szCs w:val="21"/>
        </w:rPr>
        <w:t> , consideră că acest criteriu este caracterizat în special pentru mai multe încălcări, în special cele referitoare la perioadele de păstrare a datelor cu caracter personal, procedurile de exercitare a drepturilor și depunerea cookie-urilor. În ceea ce privește încălcarea dreptului la ștergere și opoziția la prospectare, comisia restricționată ia act de natura reziduală a acestor cazuri, având în vedere numărul mare de cereri de ștergere cu care s-a confruntat de atunci operatorul de date. intrarea în vigoare a GDPR. Acesta subliniază faptul că numărul de plângeri primite de Comisie este limitat și rezultă, de fiecare dată, din eșecuri izolate. Recunoaște schimbările făcute de companie pentru a se conforma acestui punct, precum și pentru a internaliza considerarea opoziției oamenilor și a îmbunătăți procesarea cererilor și respectarea drepturilor. În ceea ce privește încălcarea legată de securitatea datelor, comitetul restricționat consideră că gravitatea acestei încălcări este atenuată de implementarea rapidă a măsurilor care limitează parțial apariția riscului. În cele din urmă, în ceea ce privește opoziția la prospectare prin mijloace electronice, partea restricționată a menționat că incidentul a fost ocazional. În ceea ce privește numărul de persoane în cauză, acest criteriu este în special agravant pentru încălcarea legată de perioada de păstrare a datelor, care a vizat câteva milioane de persoane, cu titlu informativ, deoarece fiecare persoană a aderat la programul de loialitate sau a creat un cont pe site-ul carrefour.fr și pentru încălcarea legată de cookie-uri, deoarece cookie-urile au fost plasate fără consimțământ pe terminalul celor 1,7 milioane de vizitatori unici ai site-ului. Pe de altă parte, acest criteriu este atenuant în ceea ce privește dificultățile întâmpinate în timpul exercitării dreptului de acces (trei persoane în cauză), dreptul la ștergerea datelor (patru persoane în cauză), dreptul de opoziție (două persoane în cauză) și opoziție față de prospectarea electronică (350 de persoane preocupate din cele 350.000 de persoane vizate de campanie). Pentru toate încălcările, comisia restricționată consideră că nivelul daunelor suferite este nesemnificativ.</w:t>
      </w:r>
    </w:p>
    <w:p w14:paraId="5D184785"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188. Comitetul restricționat constată că majoritatea încălcărilor rezultă din neglijență, erori ocazionale sau lipsa de anticipare a consecințelor intrării în aplicare a regulamentului.</w:t>
      </w:r>
    </w:p>
    <w:p w14:paraId="077CAA93"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189. În </w:t>
      </w:r>
      <w:r w:rsidRPr="00EC76C3">
        <w:rPr>
          <w:rFonts w:ascii="Arial" w:eastAsia="Times New Roman" w:hAnsi="Arial" w:cs="Arial"/>
          <w:color w:val="3C3C3C"/>
          <w:sz w:val="21"/>
          <w:szCs w:val="21"/>
          <w:u w:val="single"/>
        </w:rPr>
        <w:t>ceea ce privește măsurile luate de operatorul de date</w:t>
      </w:r>
      <w:r w:rsidRPr="00EC76C3">
        <w:rPr>
          <w:rFonts w:ascii="Arial" w:eastAsia="Times New Roman" w:hAnsi="Arial" w:cs="Arial"/>
          <w:color w:val="3C3C3C"/>
          <w:sz w:val="21"/>
          <w:szCs w:val="21"/>
        </w:rPr>
        <w:t> pentru a atenua daunele suferite de persoanele vizate, comitetul restricționat ia act de cooperarea perfectă a companiei pe parcursul procedurii de sancționare și eforturile foarte semnificative depuse pentru obțineți respectarea deplină în ziua sesiunii. Se observă că toate neajunsurile au fost corectate până în prezent.</w:t>
      </w:r>
    </w:p>
    <w:p w14:paraId="54A87EC0"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190. </w:t>
      </w:r>
      <w:r w:rsidRPr="00EC76C3">
        <w:rPr>
          <w:rFonts w:ascii="Arial" w:eastAsia="Times New Roman" w:hAnsi="Arial" w:cs="Arial"/>
          <w:color w:val="3C3C3C"/>
          <w:sz w:val="21"/>
          <w:szCs w:val="21"/>
          <w:u w:val="single"/>
        </w:rPr>
        <w:t>În ceea ce privește gradul de cooperare cu autoritatea de supraveghere</w:t>
      </w:r>
      <w:r w:rsidRPr="00EC76C3">
        <w:rPr>
          <w:rFonts w:ascii="Arial" w:eastAsia="Times New Roman" w:hAnsi="Arial" w:cs="Arial"/>
          <w:color w:val="3C3C3C"/>
          <w:sz w:val="21"/>
          <w:szCs w:val="21"/>
        </w:rPr>
        <w:t> , formația restricționată constată cooperarea perfectă a companiei, atât în ​​facilitarea investigațiilor CNIL, cât și în luarea în considerare, chiar înainte de decizia formației. limitat, comentarii ale raportorului. De asemenea, observă că societatea a respectat analiza juridică a raportorului cu privire la toate neajunsurile identificate, chiar și în cazurile în care a rămas o diferență de opinie.</w:t>
      </w:r>
    </w:p>
    <w:p w14:paraId="5F13722D"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191. </w:t>
      </w:r>
      <w:r w:rsidRPr="00EC76C3">
        <w:rPr>
          <w:rFonts w:ascii="Arial" w:eastAsia="Times New Roman" w:hAnsi="Arial" w:cs="Arial"/>
          <w:color w:val="3C3C3C"/>
          <w:sz w:val="21"/>
          <w:szCs w:val="21"/>
          <w:u w:val="single"/>
        </w:rPr>
        <w:t>În ceea ce privește categoriile de date cu caracter personal în cauză</w:t>
      </w:r>
      <w:r w:rsidRPr="00EC76C3">
        <w:rPr>
          <w:rFonts w:ascii="Arial" w:eastAsia="Times New Roman" w:hAnsi="Arial" w:cs="Arial"/>
          <w:color w:val="3C3C3C"/>
          <w:sz w:val="21"/>
          <w:szCs w:val="21"/>
        </w:rPr>
        <w:t> , comitetul restricționat constată că nu au fost afectate de prelucrare date sensibile.</w:t>
      </w:r>
    </w:p>
    <w:p w14:paraId="08100DCE"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192. </w:t>
      </w:r>
      <w:r w:rsidRPr="00EC76C3">
        <w:rPr>
          <w:rFonts w:ascii="Arial" w:eastAsia="Times New Roman" w:hAnsi="Arial" w:cs="Arial"/>
          <w:color w:val="3C3C3C"/>
          <w:sz w:val="21"/>
          <w:szCs w:val="21"/>
          <w:u w:val="single"/>
        </w:rPr>
        <w:t>În ceea ce privește modul în care autoritatea de supraveghere a aflat de încălcare</w:t>
      </w:r>
      <w:r w:rsidRPr="00EC76C3">
        <w:rPr>
          <w:rFonts w:ascii="Arial" w:eastAsia="Times New Roman" w:hAnsi="Arial" w:cs="Arial"/>
          <w:color w:val="3C3C3C"/>
          <w:sz w:val="21"/>
          <w:szCs w:val="21"/>
        </w:rPr>
        <w:t> , grupul restricționat a menționat că plângerile au fost, pentru o serie de încălcări, la originea acțiunii sale.</w:t>
      </w:r>
    </w:p>
    <w:p w14:paraId="6AEE4910"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193. În </w:t>
      </w:r>
      <w:r w:rsidRPr="00EC76C3">
        <w:rPr>
          <w:rFonts w:ascii="Arial" w:eastAsia="Times New Roman" w:hAnsi="Arial" w:cs="Arial"/>
          <w:color w:val="3C3C3C"/>
          <w:sz w:val="21"/>
          <w:szCs w:val="21"/>
          <w:u w:val="single"/>
        </w:rPr>
        <w:t>ceea ce privește avantajele derivate din încălcări</w:t>
      </w:r>
      <w:r w:rsidRPr="00EC76C3">
        <w:rPr>
          <w:rFonts w:ascii="Arial" w:eastAsia="Times New Roman" w:hAnsi="Arial" w:cs="Arial"/>
          <w:color w:val="3C3C3C"/>
          <w:sz w:val="21"/>
          <w:szCs w:val="21"/>
        </w:rPr>
        <w:t> , grupul restricționat consideră că societatea nu a obținut niciun avantaj financiar din acestea. În special, a demonstrat că, chiar și atunci când au fost depășite perioadele de păstrare a datelor, acestea nu au putut fi utilizate în scopuri de prospectare. De asemenea, a angajat resurse financiare substanțiale pentru a se conforma în timpul procedurii de sancționare.</w:t>
      </w:r>
    </w:p>
    <w:p w14:paraId="5275D19D"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194. </w:t>
      </w:r>
      <w:r w:rsidRPr="00EC76C3">
        <w:rPr>
          <w:rFonts w:ascii="Arial" w:eastAsia="Times New Roman" w:hAnsi="Arial" w:cs="Arial"/>
          <w:color w:val="3C3C3C"/>
          <w:sz w:val="21"/>
          <w:szCs w:val="21"/>
          <w:u w:val="single"/>
        </w:rPr>
        <w:t>În concluzie</w:t>
      </w:r>
      <w:r w:rsidRPr="00EC76C3">
        <w:rPr>
          <w:rFonts w:ascii="Arial" w:eastAsia="Times New Roman" w:hAnsi="Arial" w:cs="Arial"/>
          <w:color w:val="3C3C3C"/>
          <w:sz w:val="21"/>
          <w:szCs w:val="21"/>
        </w:rPr>
        <w:t xml:space="preserve"> , cursul restricționat menționează numărul și gravitatea încălcărilor anumitor obligații esențiale ale unui operator de date, cum ar fi informațiile sau respectarea drepturilor persoanelor. De asemenea, observă că anumite neajunsuri erau structurale. Acesta a fost cazul, de </w:t>
      </w:r>
      <w:r w:rsidRPr="00EC76C3">
        <w:rPr>
          <w:rFonts w:ascii="Arial" w:eastAsia="Times New Roman" w:hAnsi="Arial" w:cs="Arial"/>
          <w:color w:val="3C3C3C"/>
          <w:sz w:val="21"/>
          <w:szCs w:val="21"/>
        </w:rPr>
        <w:lastRenderedPageBreak/>
        <w:t>exemplu, cu subdimensionarea resurselor utilizate pentru a răspunde cererilor de exercitare a drepturilor, ducând în mod repetat la timpi de răspuns anormal de lungi, fără ca oamenii să fie informați cu privire la procesarea cererii lor sau cu privire la întârziere. prinși în epurarea datelor cu caracter personal a căror perioadă de păstrare a expirat. Cu privire la aceste puncte, instruirea restricționată subliniază, de asemenea, numărul deosebit de mare de persoane în cauză cu privire la zecile de milioane de clienți ale căror date personale apar în bazele de date ale companiei. Comitetul restricționat a remarcat în cele din urmă că neajunsurile i-au fost aduse la cunoștință din cauza unui număr mare de plângeri primite de CNIL cu privire la acest operator de date. Acest volum mare de reclamații este, de asemenea, la originea deciziei de a efectua o inspecție împotriva acestei companii.</w:t>
      </w:r>
    </w:p>
    <w:p w14:paraId="0CF755F8"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195. În consecință, comisia restricționată consideră că ar trebui aplicată o amendă.</w:t>
      </w:r>
    </w:p>
    <w:p w14:paraId="07A9CE15"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196. </w:t>
      </w:r>
      <w:r w:rsidRPr="00EC76C3">
        <w:rPr>
          <w:rFonts w:ascii="Arial" w:eastAsia="Times New Roman" w:hAnsi="Arial" w:cs="Arial"/>
          <w:b/>
          <w:bCs/>
          <w:color w:val="3C3C3C"/>
          <w:sz w:val="21"/>
          <w:szCs w:val="21"/>
          <w:u w:val="single"/>
        </w:rPr>
        <w:t>Pe baza amenzii</w:t>
      </w:r>
      <w:r w:rsidRPr="00EC76C3">
        <w:rPr>
          <w:rFonts w:ascii="Arial" w:eastAsia="Times New Roman" w:hAnsi="Arial" w:cs="Arial"/>
          <w:color w:val="3C3C3C"/>
          <w:sz w:val="21"/>
          <w:szCs w:val="21"/>
        </w:rPr>
        <w:t> , societatea contestă și metoda de calcul a bazei penalității.</w:t>
      </w:r>
    </w:p>
    <w:p w14:paraId="1853BDF1"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197. Cu privire la acest punct, comitetul restricționat reamintește că articolul 83-5 din regulament prevede că valoarea amenzilor pronunțate pentru încălcările reținute se poate ridica </w:t>
      </w:r>
      <w:r w:rsidRPr="00EC76C3">
        <w:rPr>
          <w:rFonts w:ascii="Arial" w:eastAsia="Times New Roman" w:hAnsi="Arial" w:cs="Arial"/>
          <w:i/>
          <w:iCs/>
          <w:color w:val="3C3C3C"/>
          <w:sz w:val="21"/>
          <w:szCs w:val="21"/>
        </w:rPr>
        <w:t>în cazul unei companii,</w:t>
      </w:r>
      <w:r w:rsidRPr="00EC76C3">
        <w:rPr>
          <w:rFonts w:ascii="Arial" w:eastAsia="Times New Roman" w:hAnsi="Arial" w:cs="Arial"/>
          <w:color w:val="3C3C3C"/>
          <w:sz w:val="21"/>
          <w:szCs w:val="21"/>
        </w:rPr>
        <w:t> </w:t>
      </w:r>
      <w:r w:rsidRPr="00EC76C3">
        <w:rPr>
          <w:rFonts w:ascii="Arial" w:eastAsia="Times New Roman" w:hAnsi="Arial" w:cs="Arial"/>
          <w:i/>
          <w:iCs/>
          <w:color w:val="3C3C3C"/>
          <w:sz w:val="21"/>
          <w:szCs w:val="21"/>
        </w:rPr>
        <w:t>până la 4% din cifra de totalul afacerilor anuale globale pentru anul fiscal anterior</w:t>
      </w:r>
      <w:r w:rsidRPr="00EC76C3">
        <w:rPr>
          <w:rFonts w:ascii="Arial" w:eastAsia="Times New Roman" w:hAnsi="Arial" w:cs="Arial"/>
          <w:color w:val="3C3C3C"/>
          <w:sz w:val="21"/>
          <w:szCs w:val="21"/>
        </w:rPr>
        <w:t> . Acesta subliniază că considerentul 150 din regulament specifică faptul că </w:t>
      </w:r>
      <w:r w:rsidRPr="00EC76C3">
        <w:rPr>
          <w:rFonts w:ascii="Arial" w:eastAsia="Times New Roman" w:hAnsi="Arial" w:cs="Arial"/>
          <w:i/>
          <w:iCs/>
          <w:color w:val="3C3C3C"/>
          <w:sz w:val="21"/>
          <w:szCs w:val="21"/>
        </w:rPr>
        <w:t>atunci când se impun amenzi administrative unei companii, acest termen trebuie, în acest scop, să fie înțeles ca o societate în conformitate cu articolele 101 și 102 din Tratatul privind funcționarea Uniunii Europene</w:t>
      </w:r>
      <w:r w:rsidRPr="00EC76C3">
        <w:rPr>
          <w:rFonts w:ascii="Arial" w:eastAsia="Times New Roman" w:hAnsi="Arial" w:cs="Arial"/>
          <w:color w:val="3C3C3C"/>
          <w:sz w:val="21"/>
          <w:szCs w:val="21"/>
        </w:rPr>
        <w:t> . Prin urmare, comitetul restricționat consideră că regulamentul face trimitere directă și explicită, în contextul particular al determinării cuantumului amenzilor, la dreptul concurenței reglementat de articolele 101 și 102 din Tratatul privind funcționarea Uniunii Europene ( denumit în continuare TFUE). Comitetul restricționat reamintește că orientările privind aplicarea și stabilirea amenzilor administrative în sensul Regulamentului 2016/679, adoptate la 3 octombrie 2017 de către G29, specifică în acest sens că, pentru </w:t>
      </w:r>
      <w:r w:rsidRPr="00EC76C3">
        <w:rPr>
          <w:rFonts w:ascii="Arial" w:eastAsia="Times New Roman" w:hAnsi="Arial" w:cs="Arial"/>
          <w:i/>
          <w:iCs/>
          <w:color w:val="3C3C3C"/>
          <w:sz w:val="21"/>
          <w:szCs w:val="21"/>
        </w:rPr>
        <w:t>a impune amenzi eficiente, proporționale și disuasive, autoritățile de supraveghere se vor baza pe definiția conceptului de întreprindere furnizată de CJUE în scopul aplicării articolelor 101 și 102 din TFUE, și anume că conceptul de întreprindere trebuie înțeles ca o unitate economică care poate fi formată de societatea-mamă și de toate filialele în cauză.</w:t>
      </w:r>
      <w:r w:rsidRPr="00EC76C3">
        <w:rPr>
          <w:rFonts w:ascii="Arial" w:eastAsia="Times New Roman" w:hAnsi="Arial" w:cs="Arial"/>
          <w:color w:val="3C3C3C"/>
          <w:sz w:val="21"/>
          <w:szCs w:val="21"/>
        </w:rPr>
        <w:t> </w:t>
      </w:r>
      <w:r w:rsidRPr="00EC76C3">
        <w:rPr>
          <w:rFonts w:ascii="Arial" w:eastAsia="Times New Roman" w:hAnsi="Arial" w:cs="Arial"/>
          <w:i/>
          <w:iCs/>
          <w:color w:val="3C3C3C"/>
          <w:sz w:val="21"/>
          <w:szCs w:val="21"/>
        </w:rPr>
        <w:t>În conformitate cu dreptul Uniunii și jurisprudența, o întreprindere ar trebui înțeleasă ca unitatea economică angajată în activități comerciale sau economice, indiferent de persoana juridică implicată (considerentul 150).</w:t>
      </w:r>
    </w:p>
    <w:p w14:paraId="5FAA96DF"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198. Comitetul restricționat consideră că filialele deținute de compania CARREFOUR FRANCE și care beneficiază de prelucrare trebuie considerate ca fiind preocupate în sensul orientărilor menționate anterior. Într-adevăr, în contextul dreptului concurenței la care se referă direct considerentul 150 din regulament, o întreprindere </w:t>
      </w:r>
      <w:r w:rsidRPr="00EC76C3">
        <w:rPr>
          <w:rFonts w:ascii="Arial" w:eastAsia="Times New Roman" w:hAnsi="Arial" w:cs="Arial"/>
          <w:i/>
          <w:iCs/>
          <w:color w:val="3C3C3C"/>
          <w:sz w:val="21"/>
          <w:szCs w:val="21"/>
        </w:rPr>
        <w:t>trebuie înțeleasă ca desemnând o unitate economică chiar dacă, din punct de vedere juridic, această unitate economică este alcătuită din mai multe persoane fizice sau morales</w:t>
      </w:r>
      <w:r w:rsidRPr="00EC76C3">
        <w:rPr>
          <w:rFonts w:ascii="Arial" w:eastAsia="Times New Roman" w:hAnsi="Arial" w:cs="Arial"/>
          <w:color w:val="3C3C3C"/>
          <w:sz w:val="21"/>
          <w:szCs w:val="21"/>
        </w:rPr>
        <w:t> (hotărârea din 12 iulie 1984, Hydrotherm, 170/83, ECR p. 2999, paragraful 11, reprodusă în Confederación Española de Empresarios de Estaciones de Servicio, ECLI: EU: C: 2006: 784, paragraful 40) .</w:t>
      </w:r>
    </w:p>
    <w:p w14:paraId="2E6ADE6D"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199. Comitetul restricționat reamintește, de asemenea, că amenzile aplicate trebuie să aibă un caracter descurajant. Având în vedere această cerință, sa considerat că </w:t>
      </w:r>
      <w:r w:rsidRPr="00EC76C3">
        <w:rPr>
          <w:rFonts w:ascii="Arial" w:eastAsia="Times New Roman" w:hAnsi="Arial" w:cs="Arial"/>
          <w:i/>
          <w:iCs/>
          <w:color w:val="3C3C3C"/>
          <w:sz w:val="21"/>
          <w:szCs w:val="21"/>
        </w:rPr>
        <w:t>transferul de responsabilitate către succesorul economic este justificat în scopul implementării efective a regulilor de concurență.</w:t>
      </w:r>
      <w:r w:rsidRPr="00EC76C3">
        <w:rPr>
          <w:rFonts w:ascii="Arial" w:eastAsia="Times New Roman" w:hAnsi="Arial" w:cs="Arial"/>
          <w:color w:val="3C3C3C"/>
          <w:sz w:val="21"/>
          <w:szCs w:val="21"/>
        </w:rPr>
        <w:t> </w:t>
      </w:r>
      <w:r w:rsidRPr="00EC76C3">
        <w:rPr>
          <w:rFonts w:ascii="Arial" w:eastAsia="Times New Roman" w:hAnsi="Arial" w:cs="Arial"/>
          <w:i/>
          <w:iCs/>
          <w:color w:val="3C3C3C"/>
          <w:sz w:val="21"/>
          <w:szCs w:val="21"/>
        </w:rPr>
        <w:t>Într-adevăr, dacă Comisia nu ar avea o astfel de facultate, ar fi ușor pentru companii să poată scăpa de sancțiuni prin restructurare, dezinvestiri sau alte modificări legale sau organizaționale.</w:t>
      </w:r>
      <w:r w:rsidRPr="00EC76C3">
        <w:rPr>
          <w:rFonts w:ascii="Arial" w:eastAsia="Times New Roman" w:hAnsi="Arial" w:cs="Arial"/>
          <w:color w:val="3C3C3C"/>
          <w:sz w:val="21"/>
          <w:szCs w:val="21"/>
        </w:rPr>
        <w:t> </w:t>
      </w:r>
      <w:r w:rsidRPr="00EC76C3">
        <w:rPr>
          <w:rFonts w:ascii="Arial" w:eastAsia="Times New Roman" w:hAnsi="Arial" w:cs="Arial"/>
          <w:i/>
          <w:iCs/>
          <w:color w:val="3C3C3C"/>
          <w:sz w:val="21"/>
          <w:szCs w:val="21"/>
        </w:rPr>
        <w:t>Obiectivul reprimării comportamentelor contrare regulilor de concurență și prevenirea reînnoirii acestuia prin sancțiuni disuasive ar fi astfel compromis</w:t>
      </w:r>
      <w:r w:rsidRPr="00EC76C3">
        <w:rPr>
          <w:rFonts w:ascii="Arial" w:eastAsia="Times New Roman" w:hAnsi="Arial" w:cs="Arial"/>
          <w:color w:val="3C3C3C"/>
          <w:sz w:val="21"/>
          <w:szCs w:val="21"/>
        </w:rPr>
        <w:t> (hotărârea UE Trib., 29 februarie 2016, Schenker / Comisia Europeană, cauza T-265/12 , paragraful 193).</w:t>
      </w:r>
    </w:p>
    <w:p w14:paraId="54E3C746"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lastRenderedPageBreak/>
        <w:t>200. Comitetul restricționat consideră că organizarea legală a grupului și, în special, a societății CARREFOUR FRANCE și a filialelor sale, ar </w:t>
      </w:r>
      <w:r w:rsidRPr="00EC76C3">
        <w:rPr>
          <w:rFonts w:ascii="Arial" w:eastAsia="Times New Roman" w:hAnsi="Arial" w:cs="Arial"/>
          <w:i/>
          <w:iCs/>
          <w:color w:val="3C3C3C"/>
          <w:sz w:val="21"/>
          <w:szCs w:val="21"/>
        </w:rPr>
        <w:t>de facto</w:t>
      </w:r>
      <w:r w:rsidRPr="00EC76C3">
        <w:rPr>
          <w:rFonts w:ascii="Arial" w:eastAsia="Times New Roman" w:hAnsi="Arial" w:cs="Arial"/>
          <w:color w:val="3C3C3C"/>
          <w:sz w:val="21"/>
          <w:szCs w:val="21"/>
        </w:rPr>
        <w:t> ineficientă orice amendă impusă numai cifrei de afaceri a companiei CARREFOUR FRANCE. Partidul restricționat amintește că compania CARREFOUR FRANCE a realizat, în 2019, o cifră de afaceri de aproximativ 14 milioane de euro și o pierdere netă de 1,6 miliarde de euro. Aceste cifre au fost de aceeași ordine în 2018 (cifră de afaceri de aproximativ 25 de milioane de euro și pierdere a venitului net de 1,4 miliarde de euro). CARREFOUR FRANȚA aparține totuși unui grup a cărui activitate economică este de un ordin de mărime total diferit, prezentând o cifră de afaceri de aproximativ 80 de miliarde de euro (aproximativ 40 de miliarde de euro în Franța) pentru un profit net ajustat, cota de grup, profit de aproximativ 900 de milioane de euro în 2019. Anumite filiale ale companiei CARREFOUR FRANCE realizează o cifră de afaceri deosebit de mare. De exemplu, compania CARREFOUR HYPERMARCHÉS (deținută la 81,73% de compania CARREFOUR FRANCE) a realizat, în 2019, o cifră de afaceri de 14,3 miliarde de euro și compania CARREFOUR PROXIMITÉ FRANCE (deținută 99% de către compania CARREFOUR FRANCE) a realizat în 2019 o cifră de afaceri de 636 milioane de euro.</w:t>
      </w:r>
    </w:p>
    <w:p w14:paraId="4160B3CD"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201. În consecință, comitetul restricționat consideră că, pentru a evalua noțiunea de societate în conformitate cu articolele 101 și 102 din TFUE, este necesar să se ia în considerare cifra de afaceri realizată de compania CARREFOUR FRANCE și de filialele care ea deține și care a primit tratament. Din declarațiile companiei din timpul controlului efectuat pe 28 mai 2019, companiile CARREFOUR HYPERMARCHÉS și CARREFOUR PROXIMITÉ FRANCE beneficiază de programul de partajare a datelor. Departamentul Marketing France al companiei CARREFOUR FRANCE prelucrează datele partajate ale clienților acestor companii (numele, prenumele, adresa fizică și electronică, numărul de telefon, istoricul achizițiilor) pentru a le trimite publicitate personalizată pentru produsele vândute. în aceste magazine. Instruirea limitată subliniază, de asemenea, că aceste companii participă la colectarea datelor cu caracter personal, deoarece calitatea de membru al programului de loialitate este posibilă direct în magazin prin intermediul formularelor pe hârtie.</w:t>
      </w:r>
    </w:p>
    <w:p w14:paraId="35DEA47A"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202. În concluzie, Comitetul restricționat susține că cifra de afaceri a companiei, în sensul de unitate economică, servind drept bază pentru calcularea bazei amenzii se ridică la 14,9 miliarde de euro. euro în 2019.</w:t>
      </w:r>
    </w:p>
    <w:p w14:paraId="3958B077"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203. Cu toate acestea, comitetul restricționat consideră că determinarea cuantumului amenzii trebuie să țină seama de specificitatea modelului economic al sectorului în cauză, cel al distribuției în masă, caracterizat printr-o cifră de afaceri deosebit de mare în raport cu rezultatele nete obținute. prin activitate, ea fiind distinsă prin volume extrem de mari și marje scăzute.</w:t>
      </w:r>
    </w:p>
    <w:p w14:paraId="1A769E66"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204. În consecință, consideră că o amendă în valoare de 2.250.000 de euro este justificată și proporțională cu încălcările constatate și cu situația societății CARREFOUR FRANCE.</w:t>
      </w:r>
    </w:p>
    <w:p w14:paraId="53A76860"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205. În ceea </w:t>
      </w:r>
      <w:r w:rsidRPr="00EC76C3">
        <w:rPr>
          <w:rFonts w:ascii="Arial" w:eastAsia="Times New Roman" w:hAnsi="Arial" w:cs="Arial"/>
          <w:b/>
          <w:bCs/>
          <w:color w:val="3C3C3C"/>
          <w:sz w:val="21"/>
          <w:szCs w:val="21"/>
          <w:u w:val="single"/>
        </w:rPr>
        <w:t>ce</w:t>
      </w:r>
      <w:r w:rsidRPr="00EC76C3">
        <w:rPr>
          <w:rFonts w:ascii="Arial" w:eastAsia="Times New Roman" w:hAnsi="Arial" w:cs="Arial"/>
          <w:color w:val="3C3C3C"/>
          <w:sz w:val="21"/>
          <w:szCs w:val="21"/>
        </w:rPr>
        <w:t> privește </w:t>
      </w:r>
      <w:r w:rsidRPr="00EC76C3">
        <w:rPr>
          <w:rFonts w:ascii="Arial" w:eastAsia="Times New Roman" w:hAnsi="Arial" w:cs="Arial"/>
          <w:b/>
          <w:bCs/>
          <w:color w:val="3C3C3C"/>
          <w:sz w:val="21"/>
          <w:szCs w:val="21"/>
          <w:u w:val="single"/>
        </w:rPr>
        <w:t>publicitatea deciziei</w:t>
      </w:r>
      <w:r w:rsidRPr="00EC76C3">
        <w:rPr>
          <w:rFonts w:ascii="Arial" w:eastAsia="Times New Roman" w:hAnsi="Arial" w:cs="Arial"/>
          <w:b/>
          <w:bCs/>
          <w:color w:val="3C3C3C"/>
          <w:sz w:val="21"/>
          <w:szCs w:val="21"/>
        </w:rPr>
        <w:t> ,</w:t>
      </w:r>
      <w:r w:rsidRPr="00EC76C3">
        <w:rPr>
          <w:rFonts w:ascii="Arial" w:eastAsia="Times New Roman" w:hAnsi="Arial" w:cs="Arial"/>
          <w:color w:val="3C3C3C"/>
          <w:sz w:val="21"/>
          <w:szCs w:val="21"/>
        </w:rPr>
        <w:t> societatea consideră că publicitatea sancțiunii nu este justificată.</w:t>
      </w:r>
    </w:p>
    <w:p w14:paraId="585C02FD"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206. Comitetul restricționat consideră, în primul rând, că gravitatea anumitor încălcări justifică, în sine, publicarea acestei decizii.</w:t>
      </w:r>
    </w:p>
    <w:p w14:paraId="5CEB9520"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207. Comitetul restricționat reamintește, în al doilea rând, că încălcările legate de perioada de păstrare a datelor, procedurile de exercitare a drepturilor sau informațiile furnizate au vizat un număr foarte mare de persoane. Ea consideră că publicarea deciziei sale este cel mai bun mod de a informa oamenii despre existența trecută a acestor încălcări. Observă că oamenii pot deveni conștienți de anumite încălcări (cum ar fi cea referitoare la perioada de păstrare) numai prin această publicitate a deciziei sale.</w:t>
      </w:r>
    </w:p>
    <w:p w14:paraId="54C4D812"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lastRenderedPageBreak/>
        <w:t>208. Rezultă din toate cele de mai sus și din luarea în considerare a criteriilor prevăzute la articolul 83 din regulament că o amendă administrativă de 2.250.000 de euro, precum și o sancțiune de publicare suplimentară pentru o perioadă de două anii sunt justificați și proporționați.</w:t>
      </w:r>
    </w:p>
    <w:p w14:paraId="1EA21683" w14:textId="77777777" w:rsidR="006D027D" w:rsidRPr="00EC76C3" w:rsidRDefault="006D027D" w:rsidP="006D027D">
      <w:pPr>
        <w:shd w:val="clear" w:color="auto" w:fill="FFFFFF"/>
        <w:spacing w:after="240" w:line="240" w:lineRule="auto"/>
        <w:jc w:val="center"/>
        <w:rPr>
          <w:rFonts w:ascii="Arial" w:eastAsia="Times New Roman" w:hAnsi="Arial" w:cs="Arial"/>
          <w:color w:val="3C3C3C"/>
          <w:sz w:val="21"/>
          <w:szCs w:val="21"/>
        </w:rPr>
      </w:pPr>
      <w:r w:rsidRPr="00EC76C3">
        <w:rPr>
          <w:rFonts w:ascii="Arial" w:eastAsia="Times New Roman" w:hAnsi="Arial" w:cs="Arial"/>
          <w:b/>
          <w:bCs/>
          <w:color w:val="3C3C3C"/>
          <w:sz w:val="21"/>
          <w:szCs w:val="21"/>
        </w:rPr>
        <w:t>DIN ACESTE MOTIVE</w:t>
      </w:r>
    </w:p>
    <w:p w14:paraId="4B466F9D"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b/>
          <w:bCs/>
          <w:color w:val="3C3C3C"/>
          <w:sz w:val="21"/>
          <w:szCs w:val="21"/>
        </w:rPr>
        <w:t>Formarea restricționată a CNIL, după ce a deliberat, decide să:</w:t>
      </w:r>
    </w:p>
    <w:p w14:paraId="6834B393"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b/>
          <w:bCs/>
          <w:color w:val="3C3C3C"/>
          <w:sz w:val="21"/>
          <w:szCs w:val="21"/>
        </w:rPr>
        <w:t>Pronunță împotriva companiei CARREFOUR FRANCE o amendă administrativă în valoare de 2.250.000 (două milioane două sute cincizeci de mii) euro pentru încălcarea articolelor 5-1 e), 12, 13, 15, 17, 21, 32 și 33 din GDPR, în articolul L34-5 din codul de comunicații poștale și electronice și în articolul 82 (anterior 32.II) din Legea privind protecția datelor;</w:t>
      </w:r>
    </w:p>
    <w:p w14:paraId="48D9EA90"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 </w:t>
      </w:r>
      <w:r w:rsidRPr="00EC76C3">
        <w:rPr>
          <w:rFonts w:ascii="Arial" w:eastAsia="Times New Roman" w:hAnsi="Arial" w:cs="Arial"/>
          <w:b/>
          <w:bCs/>
          <w:color w:val="3C3C3C"/>
          <w:sz w:val="21"/>
          <w:szCs w:val="21"/>
        </w:rPr>
        <w:t>Faceți publică, pe site-ul CNIL și pe site-ul web Légifrance, deliberarea sa, care nu va mai identifica compania pe nume după expirarea unei perioade de doi ani de la publicare.</w:t>
      </w:r>
    </w:p>
    <w:p w14:paraId="6B08802F" w14:textId="77777777" w:rsidR="006D027D" w:rsidRPr="00EC76C3"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Președinte</w:t>
      </w:r>
    </w:p>
    <w:p w14:paraId="402A7E2A" w14:textId="77777777" w:rsidR="006D027D" w:rsidRDefault="006D027D" w:rsidP="006D027D">
      <w:pPr>
        <w:shd w:val="clear" w:color="auto" w:fill="FFFFFF"/>
        <w:spacing w:after="240" w:line="240" w:lineRule="auto"/>
        <w:rPr>
          <w:rFonts w:ascii="Arial" w:eastAsia="Times New Roman" w:hAnsi="Arial" w:cs="Arial"/>
          <w:color w:val="3C3C3C"/>
          <w:sz w:val="21"/>
          <w:szCs w:val="21"/>
        </w:rPr>
      </w:pPr>
      <w:r w:rsidRPr="00EC76C3">
        <w:rPr>
          <w:rFonts w:ascii="Arial" w:eastAsia="Times New Roman" w:hAnsi="Arial" w:cs="Arial"/>
          <w:color w:val="3C3C3C"/>
          <w:sz w:val="21"/>
          <w:szCs w:val="21"/>
        </w:rPr>
        <w:t>Alexandre LINDEN</w:t>
      </w:r>
      <w:r>
        <w:rPr>
          <w:rFonts w:ascii="Arial" w:eastAsia="Times New Roman" w:hAnsi="Arial" w:cs="Arial"/>
          <w:color w:val="3C3C3C"/>
          <w:sz w:val="21"/>
          <w:szCs w:val="21"/>
        </w:rPr>
        <w:t>”</w:t>
      </w:r>
    </w:p>
    <w:p w14:paraId="3936EB19" w14:textId="77777777" w:rsidR="006D027D" w:rsidRDefault="006D027D" w:rsidP="006D027D"/>
    <w:p w14:paraId="7443FBD9" w14:textId="77777777" w:rsidR="00577B6B" w:rsidRDefault="00577B6B"/>
    <w:sectPr w:rsidR="00577B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27D"/>
    <w:rsid w:val="00577B6B"/>
    <w:rsid w:val="006D02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00A8B"/>
  <w15:chartTrackingRefBased/>
  <w15:docId w15:val="{51A4D57F-8479-43C3-BA11-E117869C2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2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D02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translate">
    <w:name w:val="notranslate"/>
    <w:basedOn w:val="DefaultParagraphFont"/>
    <w:rsid w:val="006D027D"/>
  </w:style>
  <w:style w:type="character" w:styleId="Emphasis">
    <w:name w:val="Emphasis"/>
    <w:basedOn w:val="DefaultParagraphFont"/>
    <w:uiPriority w:val="20"/>
    <w:qFormat/>
    <w:rsid w:val="006D027D"/>
    <w:rPr>
      <w:i/>
      <w:iCs/>
    </w:rPr>
  </w:style>
  <w:style w:type="character" w:styleId="Strong">
    <w:name w:val="Strong"/>
    <w:basedOn w:val="DefaultParagraphFont"/>
    <w:uiPriority w:val="22"/>
    <w:qFormat/>
    <w:rsid w:val="006D02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13585</Words>
  <Characters>77437</Characters>
  <Application>Microsoft Office Word</Application>
  <DocSecurity>0</DocSecurity>
  <Lines>645</Lines>
  <Paragraphs>181</Paragraphs>
  <ScaleCrop>false</ScaleCrop>
  <Company/>
  <LinksUpToDate>false</LinksUpToDate>
  <CharactersWithSpaces>90841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Adina</dc:creator>
  <cp:keywords/>
  <dc:description/>
  <cp:lastModifiedBy>Adina</cp:lastModifiedBy>
  <cp:revision>1</cp:revision>
  <dcterms:created xsi:type="dcterms:W3CDTF">2020-11-27T11:04:00Z</dcterms:created>
  <dcterms:modified xsi:type="dcterms:W3CDTF">2020-11-27T11:04:00Z</dcterms:modified>
</cp:coreProperties>
</file>