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Ex1.xml" ContentType="application/vnd.ms-office.chartex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Ex2.xml" ContentType="application/vnd.ms-office.chartex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2A5" w:rsidRDefault="008552A5" w:rsidP="008552A5">
      <w:pPr>
        <w:spacing w:after="0" w:line="240" w:lineRule="auto"/>
        <w:ind w:firstLine="720"/>
        <w:jc w:val="center"/>
        <w:rPr>
          <w:noProof/>
          <w:lang w:val="ro-RO" w:eastAsia="ro-RO"/>
        </w:rPr>
      </w:pPr>
      <w:r>
        <w:rPr>
          <w:noProof/>
        </w:rPr>
        <w:drawing>
          <wp:inline distT="0" distB="0" distL="0" distR="0">
            <wp:extent cx="4832985" cy="3084195"/>
            <wp:effectExtent l="0" t="0" r="5715" b="1905"/>
            <wp:docPr id="4" name="Diagramă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val="ro-RO" w:eastAsia="ro-RO"/>
        </w:rPr>
      </w:pPr>
      <w:r>
        <w:rPr>
          <w:noProof/>
        </w:rPr>
        <w:drawing>
          <wp:inline distT="0" distB="0" distL="0" distR="0">
            <wp:extent cx="5099050" cy="3105150"/>
            <wp:effectExtent l="0" t="0" r="6350" b="0"/>
            <wp:docPr id="3" name="Diagramă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552A5" w:rsidRDefault="008552A5" w:rsidP="008552A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center"/>
        <w:rPr>
          <w:noProof/>
          <w:lang w:val="ro-RO" w:eastAsia="ro-RO"/>
        </w:rPr>
      </w:pPr>
      <w:r>
        <w:rPr>
          <w:noProof/>
          <w:lang w:val="ro-RO" w:eastAsia="ro-RO"/>
        </w:rPr>
        <w:lastRenderedPageBreak/>
        <mc:AlternateContent>
          <mc:Choice Requires="cx1">
            <w:drawing>
              <wp:inline distT="0" distB="0" distL="0" distR="0">
                <wp:extent cx="4572000" cy="2928620"/>
                <wp:effectExtent l="0" t="0" r="0" b="5080"/>
                <wp:docPr id="2" name="Diagramă 2"/>
                <wp:cNvGraphicFramePr>
                  <a:graphicFrameLocks xmlns:a="http://schemas.openxmlformats.org/drawingml/2006/main" noGrp="1" noChangeAspect="1" noMove="1" noResize="1"/>
                </wp:cNvGraphicFramePr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6"/>
                  </a:graphicData>
                </a:graphic>
              </wp:inline>
            </w:drawing>
          </mc:Choice>
          <mc:Fallback>
            <w:drawing>
              <wp:inline distT="0" distB="0" distL="0" distR="0">
                <wp:extent cx="4572000" cy="2928620"/>
                <wp:effectExtent l="0" t="0" r="0" b="5080"/>
                <wp:docPr id="2" name="Diagramă 2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iagramă 2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2928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both"/>
        <w:rPr>
          <w:noProof/>
          <w:lang w:val="ro-RO" w:eastAsia="ro-RO"/>
        </w:rPr>
      </w:pPr>
    </w:p>
    <w:p w:rsidR="008552A5" w:rsidRDefault="008552A5" w:rsidP="008552A5">
      <w:pPr>
        <w:spacing w:after="0" w:line="240" w:lineRule="auto"/>
        <w:ind w:firstLine="720"/>
        <w:jc w:val="center"/>
        <w:rPr>
          <w:noProof/>
          <w:lang w:val="ro-RO" w:eastAsia="ro-RO"/>
        </w:rPr>
      </w:pPr>
      <w:r>
        <w:rPr>
          <w:noProof/>
          <w:lang w:val="ro-RO" w:eastAsia="ro-RO"/>
        </w:rPr>
        <mc:AlternateContent>
          <mc:Choice Requires="cx1">
            <w:drawing>
              <wp:inline distT="0" distB="0" distL="0" distR="0">
                <wp:extent cx="4673600" cy="2743200"/>
                <wp:effectExtent l="0" t="0" r="12700" b="0"/>
                <wp:docPr id="1" name="Diagramă 1"/>
                <wp:cNvGraphicFramePr>
                  <a:graphicFrameLocks xmlns:a="http://schemas.openxmlformats.org/drawingml/2006/main" noGrp="1" noChangeAspect="1" noMove="1" noResize="1"/>
                </wp:cNvGraphicFramePr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8"/>
                  </a:graphicData>
                </a:graphic>
              </wp:inline>
            </w:drawing>
          </mc:Choice>
          <mc:Fallback>
            <w:drawing>
              <wp:inline distT="0" distB="0" distL="0" distR="0">
                <wp:extent cx="4673600" cy="2743200"/>
                <wp:effectExtent l="0" t="0" r="12700" b="0"/>
                <wp:docPr id="1" name="Diagramă 1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iagramă 1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7360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AF4CE1" w:rsidRDefault="00AF4CE1">
      <w:bookmarkStart w:id="0" w:name="_GoBack"/>
      <w:bookmarkEnd w:id="0"/>
    </w:p>
    <w:sectPr w:rsidR="00AF4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2A5"/>
    <w:rsid w:val="008552A5"/>
    <w:rsid w:val="00A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11DBB6-4194-4E29-B466-5DEC27CB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52A5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6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4/relationships/chartEx" Target="charts/chartEx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4/relationships/chartEx" Target="charts/chartEx1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Biblioteca\In%20lucru\Statistici%20finale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Biblioteca\In%20lucru\Statistici%20finale.xlsx" TargetMode="Externa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file:///C:\Users\Serena\Downloads\CSM\Comisie%20modificare%20legi%20justitie%202017\Statistici%20finale.xlsx" TargetMode="External"/><Relationship Id="rId4" Type="http://schemas.openxmlformats.org/officeDocument/2006/relationships/themeOverride" Target="../theme/themeOverride3.xml"/></Relationships>
</file>

<file path=word/charts/_rels/chartEx2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file:///C:\Users\Serena\Downloads\CSM\Comisie%20modificare%20legi%20justitie%202017\Statistici%20finale.xlsx" TargetMode="External"/><Relationship Id="rId4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o-R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o-RO" sz="1600">
                <a:solidFill>
                  <a:sysClr val="windowText" lastClr="000000"/>
                </a:solidFill>
              </a:rPr>
              <a:t>Procent din numărul total de posturi</a:t>
            </a:r>
            <a:r>
              <a:rPr lang="ru-RU" sz="1600">
                <a:solidFill>
                  <a:sysClr val="windowText" lastClr="000000"/>
                </a:solidFill>
              </a:rPr>
              <a:t> </a:t>
            </a:r>
            <a:r>
              <a:rPr lang="en-US" sz="1600">
                <a:solidFill>
                  <a:sysClr val="windowText" lastClr="000000"/>
                </a:solidFill>
              </a:rPr>
              <a:t>de</a:t>
            </a:r>
            <a:r>
              <a:rPr lang="en-US" sz="1600" baseline="0">
                <a:solidFill>
                  <a:sysClr val="windowText" lastClr="000000"/>
                </a:solidFill>
              </a:rPr>
              <a:t> judec</a:t>
            </a:r>
            <a:r>
              <a:rPr lang="ro-RO" sz="1600" baseline="0">
                <a:solidFill>
                  <a:sysClr val="windowText" lastClr="000000"/>
                </a:solidFill>
              </a:rPr>
              <a:t>ători şi procurori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view3D>
      <c:rotX val="20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30232436570428695"/>
          <c:y val="0.17322029320987653"/>
          <c:w val="0.61712007874015762"/>
          <c:h val="0.6043600924386445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'[Statistici finale.xlsx]Sheet1'!$E$9</c:f>
              <c:strCache>
                <c:ptCount val="1"/>
                <c:pt idx="0">
                  <c:v>Posturi ocupate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elete val="1"/>
          </c:dLbls>
          <c:val>
            <c:numRef>
              <c:f>'[Statistici finale.xlsx]Sheet1'!$E$10</c:f>
              <c:numCache>
                <c:formatCode>General</c:formatCode>
                <c:ptCount val="1"/>
                <c:pt idx="0">
                  <c:v>6979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33-4EEE-8A67-161CD497A2D5}"/>
            </c:ext>
          </c:extLst>
        </c:ser>
        <c:ser>
          <c:idx val="1"/>
          <c:order val="1"/>
          <c:tx>
            <c:strRef>
              <c:f>'[Statistici finale.xlsx]Sheet1'!$F$9</c:f>
              <c:strCache>
                <c:ptCount val="1"/>
                <c:pt idx="0">
                  <c:v>Semnatari memoriu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0.13971576990376194"/>
                  <c:y val="-0.17447010030864196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0">
                    <a:noAutofit/>
                  </a:bodyPr>
                  <a:lstStyle/>
                  <a:p>
                    <a:pPr marL="0" marR="0" lvl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200" b="1" i="0" u="none" strike="noStrike" kern="1200" baseline="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E08CB19F-6E26-4400-B18A-066017267C52}" type="CELLRANGE">
                      <a:rPr lang="en-US" sz="1400"/>
                      <a:pPr marL="0" marR="0" lvl="0" indent="0" algn="ctr" defTabSz="914400" rtl="0" eaLnBrk="1" fontAlgn="auto" latinLnBrk="0" hangingPunct="1">
                        <a:lnSpc>
                          <a:spcPct val="100000"/>
                        </a:lnSpc>
                        <a:spcBef>
                          <a:spcPts val="0"/>
                        </a:spcBef>
                        <a:spcAft>
                          <a:spcPts val="0"/>
                        </a:spcAft>
                        <a:buClrTx/>
                        <a:buSzTx/>
                        <a:buFontTx/>
                        <a:buNone/>
                        <a:tabLst/>
                        <a:defRPr sz="1200" b="1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</a:defRPr>
                      </a:pPr>
                      <a:t>[CELLRANGE]</a:t>
                    </a:fld>
                    <a:endParaRPr lang="ro-RO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0">
                  <a:noAutofit/>
                </a:bodyPr>
                <a:lstStyle/>
                <a:p>
                  <a:pPr marL="0" marR="0" lvl="0" indent="0" algn="ctr" defTabSz="914400" rtl="0" eaLnBrk="1" fontAlgn="auto" latinLnBrk="0" hangingPunct="1">
                    <a:lnSpc>
                      <a:spcPct val="100000"/>
                    </a:lnSpc>
                    <a:spcBef>
                      <a:spcPts val="0"/>
                    </a:spcBef>
                    <a:spcAft>
                      <a:spcPts val="0"/>
                    </a:spcAft>
                    <a:buClrTx/>
                    <a:buSzTx/>
                    <a:buFontTx/>
                    <a:buNone/>
                    <a:tabLst/>
                    <a:defRPr sz="1200" b="1" i="0" u="none" strike="noStrike" kern="1200" baseline="0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o-RO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955993000874889"/>
                      <c:h val="0.1516454475308642"/>
                    </c:manualLayout>
                  </c15:layout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5A33-4EEE-8A67-161CD497A2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'[Statistici finale.xlsx]Sheet1'!$F$10</c:f>
              <c:numCache>
                <c:formatCode>General</c:formatCode>
                <c:ptCount val="1"/>
                <c:pt idx="0">
                  <c:v>3532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'[Statistici finale.xlsx]Sheet1'!$G$10</c15:f>
                <c15:dlblRangeCache>
                  <c:ptCount val="1"/>
                  <c:pt idx="0">
                    <c:v>50,61%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2-5A33-4EEE-8A67-161CD497A2D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422"/>
        <c:gapDepth val="304"/>
        <c:shape val="box"/>
        <c:axId val="501124543"/>
        <c:axId val="501123711"/>
        <c:axId val="0"/>
      </c:bar3DChart>
      <c:catAx>
        <c:axId val="50112454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501123711"/>
        <c:crosses val="autoZero"/>
        <c:auto val="1"/>
        <c:lblAlgn val="ctr"/>
        <c:lblOffset val="100"/>
        <c:noMultiLvlLbl val="0"/>
      </c:catAx>
      <c:valAx>
        <c:axId val="5011237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501124543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o-R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o-RO" sz="1600" b="1" i="0" baseline="0">
                <a:solidFill>
                  <a:sysClr val="windowText" lastClr="000000"/>
                </a:solidFill>
                <a:effectLst/>
              </a:rPr>
              <a:t>Procent din numărul participanţilor la ultimele alegeri CSM</a:t>
            </a:r>
          </a:p>
        </c:rich>
      </c:tx>
      <c:layout>
        <c:manualLayout>
          <c:xMode val="edge"/>
          <c:yMode val="edge"/>
          <c:x val="0.11085411198600174"/>
          <c:y val="3.03030303030303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31461679790026248"/>
          <c:y val="0.18220745134130961"/>
          <c:w val="0.53538320209973767"/>
          <c:h val="0.53843508197838907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'[Statistici finale.xlsx]Sheet1'!$F$23</c:f>
              <c:strCache>
                <c:ptCount val="1"/>
                <c:pt idx="0">
                  <c:v>Participanţi alegeri CSM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'[Statistici finale.xlsx]Sheet1'!$E$24:$E$26</c:f>
              <c:strCache>
                <c:ptCount val="3"/>
                <c:pt idx="0">
                  <c:v>Total </c:v>
                </c:pt>
                <c:pt idx="1">
                  <c:v>Judecători</c:v>
                </c:pt>
                <c:pt idx="2">
                  <c:v>Procurori</c:v>
                </c:pt>
              </c:strCache>
            </c:strRef>
          </c:cat>
          <c:val>
            <c:numRef>
              <c:f>'[Statistici finale.xlsx]Sheet1'!$F$24:$F$26</c:f>
              <c:numCache>
                <c:formatCode>General</c:formatCode>
                <c:ptCount val="3"/>
                <c:pt idx="0">
                  <c:v>5309</c:v>
                </c:pt>
                <c:pt idx="1">
                  <c:v>3414</c:v>
                </c:pt>
                <c:pt idx="2">
                  <c:v>1895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0A-44C2-84B1-8736A9484CA2}"/>
            </c:ext>
          </c:extLst>
        </c:ser>
        <c:ser>
          <c:idx val="0"/>
          <c:order val="1"/>
          <c:tx>
            <c:strRef>
              <c:f>'[Statistici finale.xlsx]Sheet1'!$G$23</c:f>
              <c:strCache>
                <c:ptCount val="1"/>
                <c:pt idx="0">
                  <c:v>Semnatari memoriu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'[Statistici finale.xlsx]Sheet1'!$E$24:$E$26</c:f>
              <c:strCache>
                <c:ptCount val="3"/>
                <c:pt idx="0">
                  <c:v>Total </c:v>
                </c:pt>
                <c:pt idx="1">
                  <c:v>Judecători</c:v>
                </c:pt>
                <c:pt idx="2">
                  <c:v>Procurori</c:v>
                </c:pt>
              </c:strCache>
            </c:strRef>
          </c:cat>
          <c:val>
            <c:numRef>
              <c:f>'[Statistici finale.xlsx]Sheet1'!$G$24:$G$26</c:f>
              <c:numCache>
                <c:formatCode>General</c:formatCode>
                <c:ptCount val="3"/>
                <c:pt idx="0">
                  <c:v>3532</c:v>
                </c:pt>
                <c:pt idx="1">
                  <c:v>1891</c:v>
                </c:pt>
                <c:pt idx="2">
                  <c:v>1641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0A-44C2-84B1-8736A9484C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4"/>
        <c:gapDepth val="62"/>
        <c:shape val="box"/>
        <c:axId val="688215503"/>
        <c:axId val="688217167"/>
        <c:axId val="0"/>
      </c:bar3DChart>
      <c:catAx>
        <c:axId val="68821550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88217167"/>
        <c:crosses val="autoZero"/>
        <c:auto val="1"/>
        <c:lblAlgn val="ctr"/>
        <c:lblOffset val="100"/>
        <c:noMultiLvlLbl val="0"/>
      </c:catAx>
      <c:valAx>
        <c:axId val="6882171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688215503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4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'[Statistici finale.xlsx]Sheet1'!$D$15:$D$19</cx:f>
        <cx:lvl ptCount="5">
          <cx:pt idx="0">Judecători - 1891</cx:pt>
          <cx:pt idx="1">Procurori - 1641</cx:pt>
          <cx:pt idx="2">Magistraţi asistenţi - 8</cx:pt>
          <cx:pt idx="3">Inspectori judiciari - 2</cx:pt>
          <cx:pt idx="4">Auditori de justiţie - 125</cx:pt>
        </cx:lvl>
      </cx:strDim>
      <cx:numDim type="size">
        <cx:f>'[Statistici finale.xlsx]Sheet1'!$E$15:$E$19</cx:f>
        <cx:lvl ptCount="5" formatCode="General">
          <cx:pt idx="0">1891</cx:pt>
          <cx:pt idx="1">1641</cx:pt>
          <cx:pt idx="2">8</cx:pt>
          <cx:pt idx="3">2</cx:pt>
          <cx:pt idx="4">125</cx:pt>
        </cx:lvl>
      </cx:numDim>
    </cx:data>
    <cx:data id="1">
      <cx:strDim type="cat">
        <cx:f>'[Statistici finale.xlsx]Sheet1'!$D$15:$D$19</cx:f>
        <cx:lvl ptCount="5">
          <cx:pt idx="0">Judecători - 1891</cx:pt>
          <cx:pt idx="1">Procurori - 1641</cx:pt>
          <cx:pt idx="2">Magistraţi asistenţi - 8</cx:pt>
          <cx:pt idx="3">Inspectori judiciari - 2</cx:pt>
          <cx:pt idx="4">Auditori de justiţie - 125</cx:pt>
        </cx:lvl>
      </cx:strDim>
      <cx:numDim type="size">
        <cx:f>'[Statistici finale.xlsx]Sheet1'!$F$15:$F$19</cx:f>
        <cx:lvl ptCount="5" formatCode="0,00%">
          <cx:pt idx="0">0.51596180081855392</cx:pt>
          <cx:pt idx="1">0.44774897680763981</cx:pt>
          <cx:pt idx="2">0.0021828103683492498</cx:pt>
          <cx:pt idx="3">0.00054570259208731246</cx:pt>
          <cx:pt idx="4">0.034106412005457026</cx:pt>
        </cx:lvl>
      </cx:numDim>
    </cx:data>
  </cx:chartData>
  <cx:chart>
    <cx:title pos="t" align="ctr" overlay="0">
      <cx:tx>
        <cx:txData>
          <cx:v>Profesiile semnatarilor memoriului</cx:v>
        </cx:txData>
      </cx:tx>
      <cx:txPr>
        <a:bodyPr rot="0" spcFirstLastPara="1" vertOverflow="ellipsis" vert="horz" wrap="square" lIns="38100" tIns="19050" rIns="38100" bIns="19050" anchor="ctr" anchorCtr="1" compatLnSpc="0"/>
        <a:lstStyle/>
        <a:p>
          <a:pPr algn="ctr" rtl="0">
            <a:defRPr lang="en-US" sz="16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r>
            <a:rPr kumimoji="0" lang="ro-RO" sz="1600" b="1" i="0" u="none" strike="noStrike" kern="1200" cap="none" spc="0" normalizeH="0" baseline="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Calibri" panose="020F0502020204030204"/>
            </a:rPr>
            <a:t>Profesiile semnatarilor memoriului</a:t>
          </a:r>
        </a:p>
      </cx:txPr>
    </cx:title>
    <cx:plotArea>
      <cx:plotAreaRegion>
        <cx:series layoutId="sunburst" uniqueId="{3C861BA4-D8EA-4200-A01B-65540FFA3E00}" formatIdx="0">
          <cx:dataLabels>
            <cx:visibility seriesName="0" categoryName="0" value="1"/>
            <cx:separator>
</cx:separator>
            <cx:dataLabel idx="0">
              <cx:txPr>
                <a:bodyPr spcFirstLastPara="1" vertOverflow="ellipsis" wrap="square" lIns="0" tIns="0" rIns="0" bIns="0" anchor="ctr" anchorCtr="1"/>
                <a:lstStyle/>
                <a:p>
                  <a:pPr>
                    <a:defRPr lang="en-US" sz="1200" b="1" i="0" u="none" strike="noStrike" kern="1200" baseline="0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latin typeface="Calibri" panose="020F0502020204030204"/>
                    </a:defRPr>
                  </a:pPr>
                  <a:r>
                    <a:rPr lang="ro-RO" sz="1200" b="1"/>
                    <a:t>1891</a:t>
                  </a:r>
                </a:p>
              </cx:txPr>
              <cx:visibility seriesName="0" categoryName="0" value="1"/>
              <cx:separator>
</cx:separator>
            </cx:dataLabel>
            <cx:dataLabel idx="1">
              <cx:txPr>
                <a:bodyPr spcFirstLastPara="1" vertOverflow="ellipsis" wrap="square" lIns="0" tIns="0" rIns="0" bIns="0" anchor="ctr" anchorCtr="1"/>
                <a:lstStyle/>
                <a:p>
                  <a:pPr>
                    <a:defRPr lang="en-US" sz="1200" b="1" i="0" u="none" strike="noStrike" kern="1200" baseline="0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latin typeface="Calibri" panose="020F0502020204030204"/>
                    </a:defRPr>
                  </a:pPr>
                  <a:r>
                    <a:rPr lang="ro-RO" sz="1200" b="1"/>
                    <a:t>1641</a:t>
                  </a:r>
                </a:p>
              </cx:txPr>
              <cx:visibility seriesName="0" categoryName="0" value="1"/>
              <cx:separator>
</cx:separator>
            </cx:dataLabel>
            <cx:dataLabel idx="4">
              <cx:txPr>
                <a:bodyPr spcFirstLastPara="1" vertOverflow="ellipsis" wrap="square" lIns="0" tIns="0" rIns="0" bIns="0" anchor="ctr" anchorCtr="1"/>
                <a:lstStyle/>
                <a:p>
                  <a:pPr>
                    <a:defRPr b="1"/>
                  </a:pPr>
                  <a:r>
                    <a:rPr lang="ro-RO" b="1"/>
                    <a:t>125</a:t>
                  </a:r>
                </a:p>
              </cx:txPr>
              <cx:visibility seriesName="0" categoryName="0" value="1"/>
              <cx:separator>
</cx:separator>
            </cx:dataLabel>
          </cx:dataLabels>
          <cx:dataId val="0"/>
        </cx:series>
        <cx:series layoutId="sunburst" hidden="1" uniqueId="{06470B80-2CD9-4945-8B96-4C4EB70FC3AA}" formatIdx="1">
          <cx:tx>
            <cx:txData>
              <cx:f>'[Statistici finale.xlsx]Sheet1'!$D$15:$D$19</cx:f>
              <cx:v/>
            </cx:txData>
          </cx:tx>
          <cx:dataLabels>
            <cx:visibility seriesName="0" categoryName="0" value="0"/>
            <cx:separator>, </cx:separator>
          </cx:dataLabels>
          <cx:dataId val="1"/>
        </cx:series>
      </cx:plotAreaRegion>
    </cx:plotArea>
    <cx:legend pos="r" align="ctr" overlay="0"/>
  </cx:chart>
  <cx:clrMapOvr bg1="lt1" tx1="dk1" bg2="lt2" tx2="dk2" accent1="accent1" accent2="accent2" accent3="accent3" accent4="accent4" accent5="accent5" accent6="accent6" hlink="hlink" folHlink="folHlink"/>
</cx:chartSpace>
</file>

<file path=word/charts/chartEx2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'[Statistici finale.xlsx]Sheet1'!$D$31:$D$35</cx:f>
        <cx:lvl ptCount="5">
          <cx:pt idx="0">Judecătorii / Parchete de pe lângă acestea - 1955</cx:pt>
          <cx:pt idx="1">Tribunale / Parchete de pe lângă acestea - 860</cx:pt>
          <cx:pt idx="2">Curţi de apel / Parchete de pe lângă acestea - 343</cx:pt>
          <cx:pt idx="3">Înalta Curte de Casaţie şi Justiţie / Parchet General - 374</cx:pt>
          <cx:pt idx="4">CSM – Inspecţia Judiciară - 2</cx:pt>
        </cx:lvl>
      </cx:strDim>
      <cx:numDim type="size">
        <cx:f>'[Statistici finale.xlsx]Sheet1'!$E$31:$E$35</cx:f>
        <cx:lvl ptCount="5" formatCode="General">
          <cx:pt idx="0">1955</cx:pt>
          <cx:pt idx="1">860</cx:pt>
          <cx:pt idx="2">343</cx:pt>
          <cx:pt idx="3">374</cx:pt>
          <cx:pt idx="4">2</cx:pt>
        </cx:lvl>
      </cx:numDim>
    </cx:data>
    <cx:data id="1">
      <cx:strDim type="cat">
        <cx:f>'[Statistici finale.xlsx]Sheet1'!$D$31:$D$35</cx:f>
        <cx:lvl ptCount="5">
          <cx:pt idx="0">Judecătorii / Parchete de pe lângă acestea - 1955</cx:pt>
          <cx:pt idx="1">Tribunale / Parchete de pe lângă acestea - 860</cx:pt>
          <cx:pt idx="2">Curţi de apel / Parchete de pe lângă acestea - 343</cx:pt>
          <cx:pt idx="3">Înalta Curte de Casaţie şi Justiţie / Parchet General - 374</cx:pt>
          <cx:pt idx="4">CSM – Inspecţia Judiciară - 2</cx:pt>
        </cx:lvl>
      </cx:strDim>
      <cx:numDim type="size">
        <cx:f>'[Statistici finale.xlsx]Sheet1'!$F$31:$F$35</cx:f>
        <cx:lvl ptCount="5" formatCode="0,00%">
          <cx:pt idx="0">0.55225988700564976</cx:pt>
          <cx:pt idx="1">0.24293785310734464</cx:pt>
          <cx:pt idx="2">0.096892655367231642</cx:pt>
          <cx:pt idx="3">0.10564971751412429</cx:pt>
          <cx:pt idx="4">0.0005649717514124294</cx:pt>
        </cx:lvl>
      </cx:numDim>
    </cx:data>
  </cx:chartData>
  <cx:chart>
    <cx:title pos="t" align="ctr" overlay="0">
      <cx:tx>
        <cx:txData>
          <cx:v>Grade de jurisdicţie</cx:v>
        </cx:txData>
      </cx:tx>
      <cx:txPr>
        <a:bodyPr rot="0" spcFirstLastPara="1" vertOverflow="ellipsis" vert="horz" wrap="square" lIns="38100" tIns="19050" rIns="38100" bIns="19050" anchor="ctr" anchorCtr="1" compatLnSpc="0"/>
        <a:lstStyle/>
        <a:p>
          <a:pPr algn="ctr" rtl="0">
            <a:defRPr lang="en-US" sz="16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r>
            <a:rPr kumimoji="0" lang="en-US" sz="1600" b="1" i="0" u="none" strike="noStrike" kern="1200" cap="none" spc="0" normalizeH="0" baseline="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Calibri" panose="020F0502020204030204"/>
            </a:rPr>
            <a:t>Grade de jurisdicţie</a:t>
          </a:r>
        </a:p>
      </cx:txPr>
    </cx:title>
    <cx:plotArea>
      <cx:plotAreaRegion>
        <cx:series layoutId="sunburst" uniqueId="{863469A5-A9A2-454E-9216-F85D091FE9ED}" formatIdx="0">
          <cx:tx>
            <cx:txData>
              <cx:f>'[Statistici finale.xlsx]Sheet1'!$E$30</cx:f>
              <cx:v/>
            </cx:txData>
          </cx:tx>
          <cx:dataLabels>
            <cx:numFmt formatCode="General" sourceLinked="0"/>
            <cx:txPr>
              <a:bodyPr spcFirstLastPara="1" vertOverflow="ellipsis" wrap="square" lIns="0" tIns="0" rIns="0" bIns="0" anchor="ctr" anchorCtr="1"/>
              <a:lstStyle/>
              <a:p>
                <a:pPr>
                  <a:defRPr lang="en-US" sz="1200" b="1" i="0" u="none" strike="noStrike" kern="1200" baseline="0">
                    <a:solidFill>
                      <a:sysClr val="windowText" lastClr="000000">
                        <a:lumMod val="75000"/>
                        <a:lumOff val="25000"/>
                      </a:sysClr>
                    </a:solidFill>
                    <a:latin typeface="Calibri" panose="020F0502020204030204"/>
                  </a:defRPr>
                </a:pPr>
                <a:endParaRPr lang="ro-RO" sz="1200" b="1"/>
              </a:p>
            </cx:txPr>
            <cx:visibility seriesName="0" categoryName="0" value="1"/>
            <cx:separator>
</cx:separator>
            <cx:dataLabel idx="0">
              <cx:numFmt formatCode="General" sourceLinked="0"/>
              <cx:txPr>
                <a:bodyPr spcFirstLastPara="1" vertOverflow="ellipsis" wrap="square" lIns="0" tIns="0" rIns="0" bIns="0" anchor="ctr" anchorCtr="1"/>
                <a:lstStyle/>
                <a:p>
                  <a:pPr>
                    <a:defRPr/>
                  </a:pPr>
                  <a:r>
                    <a:rPr lang="ro-RO"/>
                    <a:t>1955</a:t>
                  </a:r>
                </a:p>
              </cx:txPr>
              <cx:visibility seriesName="0" categoryName="0" value="1"/>
              <cx:separator>
</cx:separator>
            </cx:dataLabel>
          </cx:dataLabels>
          <cx:dataId val="0"/>
        </cx:series>
        <cx:series layoutId="sunburst" hidden="1" uniqueId="{623405BF-D785-4728-AF23-5A28F9A37CD0}" formatIdx="1">
          <cx:tx>
            <cx:txData>
              <cx:f>'[Statistici finale.xlsx]Sheet1'!$D$31:$D$35</cx:f>
              <cx:v/>
            </cx:txData>
          </cx:tx>
          <cx:dataLabels/>
          <cx:dataId val="1"/>
        </cx:series>
      </cx:plotAreaRegion>
    </cx:plotArea>
    <cx:legend pos="r" align="ctr" overlay="0"/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1</cp:revision>
  <dcterms:created xsi:type="dcterms:W3CDTF">2017-10-10T18:46:00Z</dcterms:created>
  <dcterms:modified xsi:type="dcterms:W3CDTF">2017-10-10T18:46:00Z</dcterms:modified>
</cp:coreProperties>
</file>